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CESI宋体-GB13000" w:hAnsi="CESI宋体-GB13000" w:eastAsia="CESI宋体-GB13000" w:cs="CESI宋体-GB13000"/>
          <w:sz w:val="32"/>
          <w:szCs w:val="32"/>
          <w:lang w:val="en-US" w:eastAsia="zh-CN"/>
        </w:rPr>
      </w:pPr>
      <w:r>
        <w:rPr>
          <w:rFonts w:hint="eastAsia" w:ascii="仿宋" w:hAnsi="仿宋" w:eastAsia="仿宋" w:cs="仿宋"/>
          <w:sz w:val="32"/>
          <w:szCs w:val="32"/>
          <w:lang w:val="en-US" w:eastAsia="zh-CN"/>
        </w:rPr>
        <w:t>附件</w:t>
      </w:r>
      <w:r>
        <w:rPr>
          <w:rFonts w:hint="eastAsia" w:ascii="CESI宋体-GB13000" w:hAnsi="CESI宋体-GB13000" w:eastAsia="CESI宋体-GB13000" w:cs="CESI宋体-GB13000"/>
          <w:sz w:val="32"/>
          <w:szCs w:val="32"/>
          <w:lang w:val="en-US" w:eastAsia="zh-CN"/>
        </w:rPr>
        <w:t>1</w:t>
      </w:r>
    </w:p>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惠州市劳动关系和谐企业认定标准</w:t>
      </w:r>
    </w:p>
    <w:p>
      <w:pPr>
        <w:jc w:val="center"/>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i w:val="0"/>
          <w:caps w:val="0"/>
          <w:color w:val="000000" w:themeColor="text1"/>
          <w:spacing w:val="0"/>
          <w:kern w:val="2"/>
          <w:sz w:val="32"/>
          <w:szCs w:val="32"/>
          <w:lang w:val="en-US" w:eastAsia="zh-CN" w:bidi="ar-SA"/>
          <w14:textFill>
            <w14:solidFill>
              <w14:schemeClr w14:val="tx1"/>
            </w14:solidFill>
          </w14:textFill>
        </w:rPr>
        <w:t>为逐步建立完善我市劳动关系和谐评价标准体系，确保和谐企业认定工作客观、公平、公正，</w:t>
      </w:r>
      <w:r>
        <w:rPr>
          <w:rFonts w:hint="eastAsia" w:ascii="仿宋_GB2312" w:hAnsi="仿宋_GB2312" w:eastAsia="仿宋_GB2312" w:cs="仿宋_GB2312"/>
          <w:i w:val="0"/>
          <w:caps w:val="0"/>
          <w:color w:val="000000" w:themeColor="text1"/>
          <w:spacing w:val="0"/>
          <w:kern w:val="2"/>
          <w:sz w:val="32"/>
          <w:szCs w:val="32"/>
          <w:lang w:val="en-US" w:eastAsia="zh-CN" w:bidi="ar-SA"/>
          <w14:textFill>
            <w14:solidFill>
              <w14:schemeClr w14:val="tx1"/>
            </w14:solidFill>
          </w14:textFill>
        </w:rPr>
        <w:t>打造我市新时代共建共治共享的和谐劳动关系新格局，</w:t>
      </w:r>
      <w:r>
        <w:rPr>
          <w:rFonts w:hint="eastAsia" w:ascii="仿宋" w:hAnsi="仿宋" w:eastAsia="仿宋" w:cs="仿宋"/>
          <w:sz w:val="32"/>
          <w:szCs w:val="32"/>
          <w:lang w:val="en-US" w:eastAsia="zh-CN"/>
        </w:rPr>
        <w:t>根据《“惠州市劳动关系和谐企业”认定工作方案》，制定本认定标准。</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一、等级区分</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惠州市劳动关系和谐企业共分为AAA级、AAAA级、AAAAA级三个等级。全市每2年组织一次认定，每次视情选取50家优秀的“惠州市劳动关系和谐企业”进行授牌表彰，其中AAA级30家、AAAA级12家、AAAAA级8家。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——劳动关系和谐AAA级企业标准。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全面遵守法律、法规和相关规定，企业信用良好；人力资源部门工作人员基本掌握劳动法律法规，与所有员工均签订劳动合同，且劳动合同依法合规；按时足额支付工资，全面为员工办理就业登记，并依法参加社会保险和缴纳住房公积金；企业制定有包括员工劳动报酬、休息休假、安全生产和职业病危害、劳动纪律和劳动合同管理等内容的规章制度，内容以及程序合法，实现安全生产和职业病危害的有效防护；</w:t>
      </w:r>
      <w:r>
        <w:rPr>
          <w:rFonts w:hint="eastAsia" w:ascii="仿宋_GB2312" w:hAnsi="仿宋_GB2312" w:eastAsia="仿宋_GB2312" w:cs="仿宋_GB2312"/>
          <w:color w:val="auto"/>
          <w:sz w:val="32"/>
          <w:szCs w:val="32"/>
          <w:lang w:val="en-US" w:eastAsia="zh-CN"/>
        </w:rPr>
        <w:t>落实女职工和未成年工特殊保护措施；企业建立了工会组织，职工入会率达100%；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通过平等协商，签订了集体合同，劳动关系整体和谐。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——劳动关系和谐AAAA级企业标准。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在达到劳动关系和谐AAA级企业标准的基础上，</w:t>
      </w:r>
      <w:r>
        <w:rPr>
          <w:rFonts w:hint="eastAsia" w:ascii="仿宋" w:hAnsi="仿宋" w:eastAsia="仿宋" w:cs="仿宋"/>
          <w:sz w:val="32"/>
          <w:szCs w:val="32"/>
          <w:lang w:val="en-US" w:eastAsia="zh-CN"/>
        </w:rPr>
        <w:t>具有一定生产经营规模，固定从业人员500人以上（含）（获得国家高新技术企业资质的企业不受此限），年营业收入1.5亿元以上（含）；</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力资源部门工作人员比较熟悉劳动法律法规；企业和员工相互讲诚信，形成“企业关爱员工，员工热爱企业”的企业文化，员工主人翁意识较强；主动承担社会责任，积极安排特殊人群就业；建立健全集体协商制度和劳动关系调解组织，拥有不少于5名经过专业机构正式培训的劳动关系协调员，劳动关系融洽和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——劳动关系和谐AAAAA级企业标准。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在达到和谐劳动关系AAAA级企业标准的基础上，</w:t>
      </w:r>
      <w:r>
        <w:rPr>
          <w:rFonts w:hint="eastAsia" w:ascii="仿宋" w:hAnsi="仿宋" w:eastAsia="仿宋" w:cs="仿宋"/>
          <w:sz w:val="32"/>
          <w:szCs w:val="32"/>
          <w:lang w:val="en-US" w:eastAsia="zh-CN"/>
        </w:rPr>
        <w:t>具有一定生产经营规模，固定从业人员1500人以上（含）（获得国家高新技术企业资质的企业不受此限），年营业收入5亿元以上（含）；</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企业人力资源部门工作人员熟练掌握劳动法律法规；人力资源管理工作系统优化，形成比较完备的员工教育培训和晋升激励机制，工资正常增长机制与我市经济发展水平相适应，为全体员工购买企业年金；积极参加公益事业，履行社会责任和义务；形成了鲜明的劳动关系和谐企业文化，实现企业与员工共同发展，拥有不少于15名经过专业机构正式培训的劳动关系协调员，劳动关系达到全面和谐。</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二、等级认定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——劳动关系和谐AAA级企业。</w:t>
      </w:r>
      <w:r>
        <w:rPr>
          <w:rFonts w:hint="eastAsia" w:ascii="仿宋" w:hAnsi="仿宋" w:eastAsia="仿宋" w:cs="仿宋"/>
          <w:color w:val="000000" w:themeColor="text1"/>
          <w:sz w:val="32"/>
          <w:szCs w:val="32"/>
          <w:lang w:val="en-US" w:eastAsia="zh-CN"/>
          <w14:textFill>
            <w14:solidFill>
              <w14:schemeClr w14:val="tx1"/>
            </w14:solidFill>
          </w14:textFill>
        </w:rPr>
        <w:t>必须同时满足以下条件：企业自愿报名申请AAA级；AAA级标准评分不低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于93分，且在全市申请AAA级的企业中排名前30名。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——劳动关系和谐AAAA级企业。</w:t>
      </w:r>
      <w:r>
        <w:rPr>
          <w:rFonts w:hint="eastAsia" w:ascii="仿宋" w:hAnsi="仿宋" w:eastAsia="仿宋" w:cs="仿宋"/>
          <w:color w:val="000000" w:themeColor="text1"/>
          <w:sz w:val="32"/>
          <w:szCs w:val="32"/>
          <w:lang w:val="en-US" w:eastAsia="zh-CN"/>
          <w14:textFill>
            <w14:solidFill>
              <w14:schemeClr w14:val="tx1"/>
            </w14:solidFill>
          </w14:textFill>
        </w:rPr>
        <w:t>必须同时满足以下条件：企业自愿报名申请AAAA级；AAA级标准评分不低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于95分；</w:t>
      </w:r>
      <w:r>
        <w:rPr>
          <w:rFonts w:hint="eastAsia" w:ascii="仿宋" w:hAnsi="仿宋" w:eastAsia="仿宋" w:cs="仿宋"/>
          <w:color w:val="000000" w:themeColor="text1"/>
          <w:sz w:val="32"/>
          <w:szCs w:val="32"/>
          <w:lang w:val="en-US" w:eastAsia="zh-CN"/>
          <w14:textFill>
            <w14:solidFill>
              <w14:schemeClr w14:val="tx1"/>
            </w14:solidFill>
          </w14:textFill>
        </w:rPr>
        <w:t>AAAA级标准评分不低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于90分；总评分（</w:t>
      </w:r>
      <w:r>
        <w:rPr>
          <w:rFonts w:hint="eastAsia" w:ascii="仿宋" w:hAnsi="仿宋" w:eastAsia="仿宋" w:cs="仿宋"/>
          <w:color w:val="000000" w:themeColor="text1"/>
          <w:sz w:val="32"/>
          <w:szCs w:val="32"/>
          <w:lang w:val="en-US" w:eastAsia="zh-CN"/>
          <w14:textFill>
            <w14:solidFill>
              <w14:schemeClr w14:val="tx1"/>
            </w14:solidFill>
          </w14:textFill>
        </w:rPr>
        <w:t>AAA级标准评分+AAAA级标准评分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）在全市申请AAAA级的企业中排名前12名。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——劳动关系和谐AAAAA级企业。</w:t>
      </w:r>
      <w:r>
        <w:rPr>
          <w:rFonts w:hint="eastAsia" w:ascii="仿宋" w:hAnsi="仿宋" w:eastAsia="仿宋" w:cs="仿宋"/>
          <w:color w:val="000000" w:themeColor="text1"/>
          <w:sz w:val="32"/>
          <w:szCs w:val="32"/>
          <w:lang w:val="en-US" w:eastAsia="zh-CN"/>
          <w14:textFill>
            <w14:solidFill>
              <w14:schemeClr w14:val="tx1"/>
            </w14:solidFill>
          </w14:textFill>
        </w:rPr>
        <w:t>必须同时满足以下条件：企业自愿报名申请AAAAA级；AAA级标准评分不低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于95分；</w:t>
      </w:r>
      <w:r>
        <w:rPr>
          <w:rFonts w:hint="eastAsia" w:ascii="仿宋" w:hAnsi="仿宋" w:eastAsia="仿宋" w:cs="仿宋"/>
          <w:color w:val="000000" w:themeColor="text1"/>
          <w:sz w:val="32"/>
          <w:szCs w:val="32"/>
          <w:lang w:val="en-US" w:eastAsia="zh-CN"/>
          <w14:textFill>
            <w14:solidFill>
              <w14:schemeClr w14:val="tx1"/>
            </w14:solidFill>
          </w14:textFill>
        </w:rPr>
        <w:t>AAAA级标准评分不低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于92分；</w:t>
      </w:r>
      <w:r>
        <w:rPr>
          <w:rFonts w:hint="eastAsia" w:ascii="仿宋" w:hAnsi="仿宋" w:eastAsia="仿宋" w:cs="仿宋"/>
          <w:color w:val="000000" w:themeColor="text1"/>
          <w:sz w:val="32"/>
          <w:szCs w:val="32"/>
          <w:lang w:val="en-US" w:eastAsia="zh-CN"/>
          <w14:textFill>
            <w14:solidFill>
              <w14:schemeClr w14:val="tx1"/>
            </w14:solidFill>
          </w14:textFill>
        </w:rPr>
        <w:t>AAAAA级标准评分不低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于90分；总评分（</w:t>
      </w:r>
      <w:r>
        <w:rPr>
          <w:rFonts w:hint="eastAsia" w:ascii="仿宋" w:hAnsi="仿宋" w:eastAsia="仿宋" w:cs="仿宋"/>
          <w:color w:val="000000" w:themeColor="text1"/>
          <w:sz w:val="32"/>
          <w:szCs w:val="32"/>
          <w:lang w:val="en-US" w:eastAsia="zh-CN"/>
          <w14:textFill>
            <w14:solidFill>
              <w14:schemeClr w14:val="tx1"/>
            </w14:solidFill>
          </w14:textFill>
        </w:rPr>
        <w:t>AAA级标准评分+AAAA级标准评分+AAAAA级标准评分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）在全市申请AAAAA级的企业中排名前8名。</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三、评分标准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——劳动关系和谐AAA级企业评分标准（100分）。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共13个项目，分别为：（1）贯彻执行劳动合同法，依法规范签订及履行劳动合同</w:t>
      </w:r>
      <w:bookmarkStart w:id="0" w:name="_GoBack"/>
      <w:bookmarkEnd w:id="0"/>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分）；（2）人力资源部门工作人员基本掌握劳动法律法规（5分）；（3）按时足额支付工资，依法制定工资支付制度（14分）；（4）依法参加社会保险（8分）；（5）依法缴纳住房公积金（6分）；（6）严格执行国家工时、休息休假制度（8分）；（7）建立健全劳动保护措施和劳动安全卫生条件</w:t>
      </w:r>
      <w:r>
        <w:rPr>
          <w:rFonts w:hint="eastAsia" w:ascii="仿宋_GB2312" w:hAnsi="仿宋_GB2312" w:eastAsia="仿宋_GB2312" w:cs="仿宋_GB2312"/>
          <w:color w:val="auto"/>
          <w:sz w:val="32"/>
          <w:szCs w:val="32"/>
          <w:lang w:val="en-US" w:eastAsia="zh-CN"/>
        </w:rPr>
        <w:t>（9分）；（8）遵守女职工和未成年工劳动保护规定（10分）；（9）遵守《工会法》的规定，依法足额缴纳工会经费，职工入会率达80%以上（4分）；（10）建立集体合同制度，推行集体协商制度（4分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）；（11）有经过专业机构培训的劳动关系协调员，并建立有企业劳动争议调解组织（8分）；（12）依法建立企业规章制度（8分）；（13）依法依规使用劳务派遣工（8分）。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——劳动关系和谐AAAA级企业评分标准（100分）。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共9个项目，分别为：（1）</w:t>
      </w:r>
      <w:r>
        <w:rPr>
          <w:rFonts w:hint="eastAsia" w:ascii="仿宋" w:hAnsi="仿宋" w:eastAsia="仿宋" w:cs="仿宋"/>
          <w:sz w:val="32"/>
          <w:szCs w:val="32"/>
          <w:lang w:val="en-US" w:eastAsia="zh-CN"/>
        </w:rPr>
        <w:t>固定从业人员500人以上（含）（经市科技局认定的科技创新型企业不受此限），年营业收入1.5亿元以上（含）（10分）；（2）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人力资源部门工作人员比较熟悉劳动法律法规（8分）；（3）企业以人为本，关爱员工，改善员工工作生活条件（16分）；（4）企业为员工提供不同层次的培训学习，不断提高员工综合素质（12分）；（5）</w:t>
      </w:r>
      <w:r>
        <w:rPr>
          <w:rFonts w:hint="eastAsia" w:ascii="仿宋_GB2312" w:hAnsi="仿宋_GB2312" w:eastAsia="仿宋_GB2312" w:cs="仿宋_GB2312"/>
          <w:color w:val="auto"/>
          <w:sz w:val="32"/>
          <w:szCs w:val="32"/>
          <w:lang w:val="en-US" w:eastAsia="zh-CN"/>
        </w:rPr>
        <w:t>建立健全工资集体协商机制（7分）；（6）有不少于5名经过专业机构培训的劳动关系协调员（10分）；（7）工会作用发挥明显，企业劳动争议调解组织充分发挥作用（20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分）；（8）企业与员工沟通渠道畅通，机制健全（12分）；（9）积极解决特殊人群的就业问题（10分）。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——劳动关系和谐AAAAA级企业评分标准（100分）。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共9个项目，分别为：（1）</w:t>
      </w:r>
      <w:r>
        <w:rPr>
          <w:rFonts w:hint="eastAsia" w:ascii="仿宋" w:hAnsi="仿宋" w:eastAsia="仿宋" w:cs="仿宋"/>
          <w:sz w:val="32"/>
          <w:szCs w:val="32"/>
          <w:lang w:val="en-US" w:eastAsia="zh-CN"/>
        </w:rPr>
        <w:t>固定从业人员1500人以上（含）（经市科技局认定的科技创新型企业不受此限），年营业收入5亿元以上（含）</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（8分）</w:t>
      </w:r>
      <w:r>
        <w:rPr>
          <w:rFonts w:hint="eastAsia" w:ascii="仿宋" w:hAnsi="仿宋" w:eastAsia="仿宋" w:cs="仿宋"/>
          <w:sz w:val="32"/>
          <w:szCs w:val="32"/>
          <w:lang w:val="en-US" w:eastAsia="zh-CN"/>
        </w:rPr>
        <w:t>；（2）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企业人力资源部门工作人员熟练掌握劳动法律法规（9分）；（3）企业具有比较完备的员工教育培训和晋升激励机制，为员工提供较好的发展平台（20分）；（4）企业工资正常增长机制与我市经济发展水平相适应，具有优化的福利制度（15分）；（5）企业为全体员工购买企业年金（5分）；（6）企业形成与员工共同发展的鲜明特色企业文化，劳动关系健康和谐（12分）；（7）拥有不少于15名经过专业机构正式培训的劳动关系协调员（9分）；（8）积极参加公益事业，履行社会责任和义务（12分）；（9）员工热爱企业，具有较强的责任感和归属感，为实现企业发展愿景作出贡献（10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附件：1-1.</w:t>
      </w:r>
      <w:r>
        <w:rPr>
          <w:rFonts w:hint="eastAsia" w:ascii="仿宋" w:hAnsi="仿宋" w:eastAsia="仿宋" w:cs="仿宋"/>
          <w:sz w:val="32"/>
          <w:szCs w:val="32"/>
          <w:lang w:val="en-US" w:eastAsia="zh-CN"/>
        </w:rPr>
        <w:t>惠州市劳动关系和谐企业AAA级评分表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1-2.</w:t>
      </w:r>
      <w:r>
        <w:rPr>
          <w:rFonts w:hint="eastAsia" w:ascii="仿宋" w:hAnsi="仿宋" w:eastAsia="仿宋" w:cs="仿宋"/>
          <w:sz w:val="32"/>
          <w:szCs w:val="32"/>
          <w:lang w:val="en-US" w:eastAsia="zh-CN"/>
        </w:rPr>
        <w:t>惠州市劳动关系和谐企业AAAA级评分表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1-3.惠州市劳动关系和谐企业AAAAA级评分表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附件1-1</w:t>
      </w:r>
    </w:p>
    <w:p>
      <w:pPr>
        <w:jc w:val="center"/>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惠州市劳动关系和谐企业AAA级评分表（100分）</w:t>
      </w:r>
    </w:p>
    <w:tbl>
      <w:tblPr>
        <w:tblStyle w:val="5"/>
        <w:tblW w:w="21287"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3165"/>
        <w:gridCol w:w="17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765" w:type="dxa"/>
            <w:noWrap w:val="0"/>
            <w:vAlign w:val="center"/>
          </w:tcPr>
          <w:p>
            <w:pPr>
              <w:pStyle w:val="2"/>
              <w:adjustRightInd w:val="0"/>
              <w:snapToGrid w:val="0"/>
              <w:spacing w:line="280" w:lineRule="exact"/>
              <w:rPr>
                <w:rFonts w:eastAsia="仿宋_GB2312"/>
                <w:color w:val="000000"/>
                <w:spacing w:val="-12"/>
                <w:sz w:val="24"/>
              </w:rPr>
            </w:pPr>
            <w:r>
              <w:rPr>
                <w:rFonts w:eastAsia="仿宋_GB2312"/>
                <w:color w:val="000000"/>
                <w:spacing w:val="-12"/>
                <w:sz w:val="24"/>
              </w:rPr>
              <w:t>项目序号</w:t>
            </w:r>
          </w:p>
        </w:tc>
        <w:tc>
          <w:tcPr>
            <w:tcW w:w="3165" w:type="dxa"/>
            <w:noWrap w:val="0"/>
            <w:vAlign w:val="center"/>
          </w:tcPr>
          <w:p>
            <w:pPr>
              <w:pStyle w:val="2"/>
              <w:adjustRightInd w:val="0"/>
              <w:snapToGrid w:val="0"/>
              <w:spacing w:line="280" w:lineRule="exact"/>
              <w:rPr>
                <w:rFonts w:eastAsia="仿宋_GB2312"/>
                <w:color w:val="000000"/>
                <w:sz w:val="24"/>
              </w:rPr>
            </w:pPr>
            <w:r>
              <w:rPr>
                <w:rFonts w:eastAsia="仿宋_GB2312"/>
                <w:color w:val="000000"/>
                <w:sz w:val="24"/>
              </w:rPr>
              <w:t>项目及分值</w:t>
            </w:r>
          </w:p>
        </w:tc>
        <w:tc>
          <w:tcPr>
            <w:tcW w:w="17357" w:type="dxa"/>
            <w:noWrap w:val="0"/>
            <w:vAlign w:val="center"/>
          </w:tcPr>
          <w:p>
            <w:pPr>
              <w:pStyle w:val="2"/>
              <w:adjustRightInd w:val="0"/>
              <w:snapToGrid w:val="0"/>
              <w:spacing w:line="280" w:lineRule="exact"/>
              <w:rPr>
                <w:rFonts w:eastAsia="仿宋_GB2312"/>
                <w:color w:val="000000"/>
                <w:sz w:val="24"/>
              </w:rPr>
            </w:pPr>
            <w:r>
              <w:rPr>
                <w:rFonts w:hint="eastAsia" w:eastAsia="仿宋_GB2312"/>
                <w:color w:val="000000"/>
                <w:sz w:val="24"/>
                <w:lang w:eastAsia="zh-CN"/>
              </w:rPr>
              <w:t>子项及评分标准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65" w:type="dxa"/>
            <w:vMerge w:val="restart"/>
            <w:noWrap w:val="0"/>
            <w:vAlign w:val="center"/>
          </w:tcPr>
          <w:p>
            <w:pPr>
              <w:pStyle w:val="2"/>
              <w:adjustRightInd w:val="0"/>
              <w:snapToGrid w:val="0"/>
              <w:spacing w:line="280" w:lineRule="exact"/>
              <w:rPr>
                <w:rFonts w:hint="eastAsia" w:eastAsia="仿宋_GB2312"/>
                <w:b w:val="0"/>
                <w:color w:val="000000"/>
                <w:sz w:val="21"/>
                <w:szCs w:val="21"/>
                <w:lang w:eastAsia="zh-CN"/>
              </w:rPr>
            </w:pPr>
            <w:r>
              <w:rPr>
                <w:rFonts w:hint="eastAsia"/>
                <w:b w:val="0"/>
                <w:color w:val="000000"/>
                <w:sz w:val="21"/>
                <w:szCs w:val="21"/>
                <w:lang w:val="en-US" w:eastAsia="zh-CN"/>
              </w:rPr>
              <w:t>1</w:t>
            </w:r>
          </w:p>
        </w:tc>
        <w:tc>
          <w:tcPr>
            <w:tcW w:w="3165" w:type="dxa"/>
            <w:vMerge w:val="restart"/>
            <w:noWrap w:val="0"/>
            <w:vAlign w:val="center"/>
          </w:tcPr>
          <w:p>
            <w:pPr>
              <w:pStyle w:val="2"/>
              <w:adjustRightInd w:val="0"/>
              <w:snapToGrid w:val="0"/>
              <w:spacing w:line="280" w:lineRule="exact"/>
              <w:ind w:left="-67" w:leftChars="-32" w:right="-73" w:rightChars="-35"/>
              <w:jc w:val="left"/>
              <w:rPr>
                <w:rFonts w:eastAsia="仿宋_GB2312"/>
                <w:b w:val="0"/>
                <w:color w:val="000000"/>
                <w:sz w:val="21"/>
                <w:szCs w:val="21"/>
              </w:rPr>
            </w:pPr>
            <w:r>
              <w:rPr>
                <w:rFonts w:hint="eastAsia" w:eastAsia="仿宋_GB2312"/>
                <w:b w:val="0"/>
                <w:color w:val="000000"/>
                <w:sz w:val="21"/>
                <w:szCs w:val="21"/>
                <w:lang w:val="en-US" w:eastAsia="zh-CN"/>
              </w:rPr>
              <w:t>贯彻执行劳动合同法，依法规范签订及履行劳动合同（8分）</w:t>
            </w: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企业招用员工，自用工之日起一个月内与员工签订书面劳动合同，且签订率达到100%。（3分）</w:t>
            </w:r>
            <w:r>
              <w:rPr>
                <w:rFonts w:hint="eastAsia" w:eastAsia="仿宋_GB2312"/>
                <w:b w:val="0"/>
                <w:color w:val="000000"/>
                <w:sz w:val="21"/>
                <w:szCs w:val="21"/>
                <w:lang w:eastAsia="zh-CN"/>
              </w:rPr>
              <w:t>（达不到</w:t>
            </w:r>
            <w:r>
              <w:rPr>
                <w:rFonts w:eastAsia="仿宋_GB2312"/>
                <w:b w:val="0"/>
                <w:color w:val="000000"/>
                <w:sz w:val="21"/>
                <w:szCs w:val="21"/>
              </w:rPr>
              <w:t>100%</w:t>
            </w:r>
            <w:r>
              <w:rPr>
                <w:rFonts w:hint="eastAsia" w:eastAsia="仿宋_GB2312"/>
                <w:b w:val="0"/>
                <w:color w:val="000000"/>
                <w:sz w:val="21"/>
                <w:szCs w:val="21"/>
                <w:lang w:eastAsia="zh-CN"/>
              </w:rPr>
              <w:t>的记</w:t>
            </w:r>
            <w:r>
              <w:rPr>
                <w:rFonts w:hint="eastAsia" w:eastAsia="仿宋_GB2312"/>
                <w:b w:val="0"/>
                <w:color w:val="000000"/>
                <w:sz w:val="21"/>
                <w:szCs w:val="21"/>
                <w:lang w:val="en-US" w:eastAsia="zh-CN"/>
              </w:rPr>
              <w:t>0分</w:t>
            </w:r>
            <w:r>
              <w:rPr>
                <w:rFonts w:hint="eastAsia" w:eastAsia="仿宋_GB2312"/>
                <w:b w:val="0"/>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劳动合同在订立、履行、变更、续签、解除或者终止时，程序合法，行为规范。（3分）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企业按规定及时为员工办理就业登记，如有招用外国人和港澳台人员就业的按规定办理就业许可手续。（2分）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65" w:type="dxa"/>
            <w:vMerge w:val="restart"/>
            <w:noWrap w:val="0"/>
            <w:vAlign w:val="center"/>
          </w:tcPr>
          <w:p>
            <w:pPr>
              <w:pStyle w:val="2"/>
              <w:adjustRightInd w:val="0"/>
              <w:snapToGrid w:val="0"/>
              <w:spacing w:line="280" w:lineRule="exact"/>
              <w:rPr>
                <w:rFonts w:hint="eastAsia" w:eastAsia="仿宋_GB2312"/>
                <w:b w:val="0"/>
                <w:color w:val="000000"/>
                <w:sz w:val="21"/>
                <w:szCs w:val="21"/>
                <w:lang w:val="en-US" w:eastAsia="zh-CN"/>
              </w:rPr>
            </w:pPr>
            <w:r>
              <w:rPr>
                <w:rFonts w:hint="eastAsia"/>
                <w:b w:val="0"/>
                <w:color w:val="000000"/>
                <w:sz w:val="21"/>
                <w:szCs w:val="21"/>
                <w:lang w:val="en-US" w:eastAsia="zh-CN"/>
              </w:rPr>
              <w:t>2</w:t>
            </w:r>
          </w:p>
        </w:tc>
        <w:tc>
          <w:tcPr>
            <w:tcW w:w="3165" w:type="dxa"/>
            <w:vMerge w:val="restart"/>
            <w:noWrap w:val="0"/>
            <w:vAlign w:val="center"/>
          </w:tcPr>
          <w:p>
            <w:pPr>
              <w:pStyle w:val="2"/>
              <w:adjustRightInd w:val="0"/>
              <w:snapToGrid w:val="0"/>
              <w:spacing w:line="280" w:lineRule="exact"/>
              <w:ind w:left="-80" w:leftChars="-38"/>
              <w:jc w:val="left"/>
              <w:rPr>
                <w:rFonts w:eastAsia="仿宋_GB2312"/>
                <w:b w:val="0"/>
                <w:color w:val="000000"/>
                <w:sz w:val="21"/>
                <w:szCs w:val="21"/>
              </w:rPr>
            </w:pPr>
            <w:r>
              <w:rPr>
                <w:rFonts w:hint="eastAsia" w:eastAsia="仿宋_GB2312"/>
                <w:b w:val="0"/>
                <w:color w:val="000000"/>
                <w:sz w:val="21"/>
                <w:szCs w:val="21"/>
                <w:lang w:val="en-US" w:eastAsia="zh-CN"/>
              </w:rPr>
              <w:t>人力资源部门工作人员基本掌握劳动法律法规（5分）</w:t>
            </w: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hint="eastAsia" w:eastAsia="仿宋_GB2312"/>
                <w:b w:val="0"/>
                <w:color w:val="000000"/>
                <w:sz w:val="21"/>
                <w:szCs w:val="21"/>
                <w:lang w:val="en-US" w:eastAsia="zh-CN"/>
              </w:rPr>
              <w:t>企业三年内有组织人力资源部门工作人员参加劳动法律法规培训或集中进行劳动法律法规相关知识学习。（1分）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65" w:type="dxa"/>
            <w:vMerge w:val="continue"/>
            <w:noWrap w:val="0"/>
            <w:vAlign w:val="center"/>
          </w:tcPr>
          <w:p>
            <w:pPr>
              <w:pStyle w:val="2"/>
              <w:adjustRightInd w:val="0"/>
              <w:snapToGrid w:val="0"/>
              <w:spacing w:line="280" w:lineRule="exact"/>
              <w:rPr>
                <w:rFonts w:hint="eastAsia" w:eastAsia="仿宋_GB2312"/>
                <w:b w:val="0"/>
                <w:color w:val="000000"/>
                <w:sz w:val="21"/>
                <w:szCs w:val="21"/>
                <w:lang w:val="en-US" w:eastAsia="zh-CN"/>
              </w:rPr>
            </w:pPr>
          </w:p>
        </w:tc>
        <w:tc>
          <w:tcPr>
            <w:tcW w:w="3165" w:type="dxa"/>
            <w:vMerge w:val="continue"/>
            <w:noWrap w:val="0"/>
            <w:vAlign w:val="center"/>
          </w:tcPr>
          <w:p>
            <w:pPr>
              <w:pStyle w:val="2"/>
              <w:adjustRightInd w:val="0"/>
              <w:snapToGrid w:val="0"/>
              <w:spacing w:line="280" w:lineRule="exact"/>
              <w:ind w:left="-80" w:leftChars="-38"/>
              <w:jc w:val="left"/>
              <w:rPr>
                <w:rFonts w:hint="eastAsia" w:eastAsia="仿宋_GB2312"/>
                <w:b w:val="0"/>
                <w:color w:val="000000"/>
                <w:sz w:val="21"/>
                <w:szCs w:val="21"/>
                <w:lang w:val="en-US" w:eastAsia="zh-CN"/>
              </w:rPr>
            </w:pPr>
          </w:p>
        </w:tc>
        <w:tc>
          <w:tcPr>
            <w:tcW w:w="17357" w:type="dxa"/>
            <w:noWrap w:val="0"/>
            <w:vAlign w:val="center"/>
          </w:tcPr>
          <w:p>
            <w:pPr>
              <w:pStyle w:val="2"/>
              <w:adjustRightInd w:val="0"/>
              <w:snapToGrid w:val="0"/>
              <w:spacing w:line="280" w:lineRule="exact"/>
              <w:jc w:val="both"/>
              <w:rPr>
                <w:rFonts w:hint="default" w:eastAsia="仿宋_GB2312"/>
                <w:b w:val="0"/>
                <w:color w:val="000000"/>
                <w:sz w:val="21"/>
                <w:szCs w:val="21"/>
                <w:lang w:val="en-US"/>
              </w:rPr>
            </w:pPr>
            <w:r>
              <w:rPr>
                <w:rFonts w:hint="eastAsia" w:eastAsia="仿宋_GB2312"/>
                <w:b w:val="0"/>
                <w:color w:val="000000"/>
                <w:sz w:val="21"/>
                <w:szCs w:val="21"/>
                <w:lang w:val="en-US" w:eastAsia="zh-CN"/>
              </w:rPr>
              <w:t>人力资源部门工作人员基本掌握常用劳动法律法规。（4分）（现场抽考3人，平均分在60分以下得0分，在60-80分区间得3分，在80分以上得4分）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65" w:type="dxa"/>
            <w:vMerge w:val="restart"/>
            <w:noWrap w:val="0"/>
            <w:vAlign w:val="center"/>
          </w:tcPr>
          <w:p>
            <w:pPr>
              <w:pStyle w:val="2"/>
              <w:adjustRightInd w:val="0"/>
              <w:snapToGrid w:val="0"/>
              <w:spacing w:line="280" w:lineRule="exact"/>
              <w:rPr>
                <w:rFonts w:hint="eastAsia" w:eastAsia="仿宋_GB2312"/>
                <w:b w:val="0"/>
                <w:color w:val="000000"/>
                <w:sz w:val="21"/>
                <w:szCs w:val="21"/>
                <w:lang w:eastAsia="zh-CN"/>
              </w:rPr>
            </w:pPr>
            <w:r>
              <w:rPr>
                <w:rFonts w:hint="eastAsia"/>
                <w:b w:val="0"/>
                <w:color w:val="000000"/>
                <w:sz w:val="21"/>
                <w:szCs w:val="21"/>
                <w:lang w:val="en-US" w:eastAsia="zh-CN"/>
              </w:rPr>
              <w:t>3</w:t>
            </w:r>
          </w:p>
        </w:tc>
        <w:tc>
          <w:tcPr>
            <w:tcW w:w="3165" w:type="dxa"/>
            <w:vMerge w:val="restart"/>
            <w:noWrap w:val="0"/>
            <w:vAlign w:val="center"/>
          </w:tcPr>
          <w:p>
            <w:pPr>
              <w:pStyle w:val="2"/>
              <w:adjustRightInd w:val="0"/>
              <w:snapToGrid w:val="0"/>
              <w:spacing w:line="280" w:lineRule="exact"/>
              <w:ind w:left="-80" w:leftChars="-38"/>
              <w:jc w:val="left"/>
              <w:rPr>
                <w:rFonts w:eastAsia="仿宋_GB2312"/>
                <w:b w:val="0"/>
                <w:color w:val="000000"/>
                <w:sz w:val="21"/>
                <w:szCs w:val="21"/>
              </w:rPr>
            </w:pPr>
            <w:r>
              <w:rPr>
                <w:rFonts w:hint="eastAsia" w:eastAsia="仿宋_GB2312"/>
                <w:b w:val="0"/>
                <w:color w:val="000000"/>
                <w:sz w:val="21"/>
                <w:szCs w:val="21"/>
                <w:lang w:val="en-US" w:eastAsia="zh-CN"/>
              </w:rPr>
              <w:t>按时足额支付工资，依法制定工资支付制度（1</w:t>
            </w:r>
            <w:r>
              <w:rPr>
                <w:rFonts w:hint="eastAsia"/>
                <w:b w:val="0"/>
                <w:color w:val="000000"/>
                <w:sz w:val="21"/>
                <w:szCs w:val="21"/>
                <w:lang w:val="en-US" w:eastAsia="zh-CN"/>
              </w:rPr>
              <w:t>4</w:t>
            </w:r>
            <w:r>
              <w:rPr>
                <w:rFonts w:hint="eastAsia" w:eastAsia="仿宋_GB2312"/>
                <w:b w:val="0"/>
                <w:color w:val="000000"/>
                <w:sz w:val="21"/>
                <w:szCs w:val="21"/>
                <w:lang w:val="en-US" w:eastAsia="zh-CN"/>
              </w:rPr>
              <w:t>分）</w:t>
            </w: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按时足额支付工资达到100%。（</w:t>
            </w:r>
            <w:r>
              <w:rPr>
                <w:rFonts w:hint="eastAsia" w:eastAsia="仿宋_GB2312"/>
                <w:b w:val="0"/>
                <w:color w:val="000000"/>
                <w:sz w:val="21"/>
                <w:szCs w:val="21"/>
                <w:lang w:val="en-US" w:eastAsia="zh-CN"/>
              </w:rPr>
              <w:t>3</w:t>
            </w:r>
            <w:r>
              <w:rPr>
                <w:rFonts w:eastAsia="仿宋_GB2312"/>
                <w:b w:val="0"/>
                <w:color w:val="000000"/>
                <w:sz w:val="21"/>
                <w:szCs w:val="21"/>
              </w:rPr>
              <w:t>分）</w:t>
            </w:r>
            <w:r>
              <w:rPr>
                <w:rFonts w:hint="eastAsia" w:eastAsia="仿宋_GB2312"/>
                <w:b w:val="0"/>
                <w:color w:val="000000"/>
                <w:sz w:val="21"/>
                <w:szCs w:val="21"/>
                <w:lang w:eastAsia="zh-CN"/>
              </w:rPr>
              <w:t>（达不到</w:t>
            </w:r>
            <w:r>
              <w:rPr>
                <w:rFonts w:eastAsia="仿宋_GB2312"/>
                <w:b w:val="0"/>
                <w:color w:val="000000"/>
                <w:sz w:val="21"/>
                <w:szCs w:val="21"/>
              </w:rPr>
              <w:t>100%</w:t>
            </w:r>
            <w:r>
              <w:rPr>
                <w:rFonts w:hint="eastAsia" w:eastAsia="仿宋_GB2312"/>
                <w:b w:val="0"/>
                <w:color w:val="000000"/>
                <w:sz w:val="21"/>
                <w:szCs w:val="21"/>
                <w:lang w:eastAsia="zh-CN"/>
              </w:rPr>
              <w:t>的记</w:t>
            </w:r>
            <w:r>
              <w:rPr>
                <w:rFonts w:hint="eastAsia" w:eastAsia="仿宋_GB2312"/>
                <w:b w:val="0"/>
                <w:color w:val="000000"/>
                <w:sz w:val="21"/>
                <w:szCs w:val="21"/>
                <w:lang w:val="en-US" w:eastAsia="zh-CN"/>
              </w:rPr>
              <w:t>0分</w:t>
            </w:r>
            <w:r>
              <w:rPr>
                <w:rFonts w:hint="eastAsia" w:eastAsia="仿宋_GB2312"/>
                <w:b w:val="0"/>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企业与员工在劳动合同中依法约定正常工作时间，约定的员工正常工作时间工资不得低于当地最低工资标准。（</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企业依法按规定支付员工加班工资并在工资清单中列明，有依法规范的考勤制度。（</w:t>
            </w:r>
            <w:r>
              <w:rPr>
                <w:rFonts w:hint="eastAsia"/>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企业依法合理制定本单位的工资支付制度，并依法通过公示等有效方式告知全体员工。（</w:t>
            </w:r>
            <w:r>
              <w:rPr>
                <w:rFonts w:hint="eastAsia"/>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工资分配应体现从事有毒、有害、高温、夜班等特殊工种的工资分配差别，并按时足额支付各项特殊工种的津贴补贴。（</w:t>
            </w:r>
            <w:r>
              <w:rPr>
                <w:rFonts w:hint="eastAsia"/>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企业按照工资支付周期如实编制工资支付台账。（</w:t>
            </w:r>
            <w:r>
              <w:rPr>
                <w:rFonts w:hint="eastAsia"/>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企业支付工资时，向员工提供其本人的工资清单。（1分）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65" w:type="dxa"/>
            <w:vMerge w:val="restart"/>
            <w:noWrap w:val="0"/>
            <w:vAlign w:val="center"/>
          </w:tcPr>
          <w:p>
            <w:pPr>
              <w:pStyle w:val="2"/>
              <w:adjustRightInd w:val="0"/>
              <w:snapToGrid w:val="0"/>
              <w:spacing w:line="280" w:lineRule="exact"/>
              <w:rPr>
                <w:rFonts w:hint="eastAsia" w:eastAsia="仿宋_GB2312"/>
                <w:b w:val="0"/>
                <w:color w:val="000000"/>
                <w:sz w:val="21"/>
                <w:szCs w:val="21"/>
                <w:lang w:eastAsia="zh-CN"/>
              </w:rPr>
            </w:pPr>
            <w:r>
              <w:rPr>
                <w:rFonts w:hint="eastAsia"/>
                <w:b w:val="0"/>
                <w:color w:val="000000"/>
                <w:sz w:val="21"/>
                <w:szCs w:val="21"/>
                <w:lang w:val="en-US" w:eastAsia="zh-CN"/>
              </w:rPr>
              <w:t>4</w:t>
            </w:r>
          </w:p>
        </w:tc>
        <w:tc>
          <w:tcPr>
            <w:tcW w:w="3165" w:type="dxa"/>
            <w:vMerge w:val="restart"/>
            <w:noWrap w:val="0"/>
            <w:vAlign w:val="center"/>
          </w:tcPr>
          <w:p>
            <w:pPr>
              <w:pStyle w:val="2"/>
              <w:adjustRightInd w:val="0"/>
              <w:snapToGrid w:val="0"/>
              <w:spacing w:line="280" w:lineRule="exact"/>
              <w:ind w:left="-107" w:leftChars="-51" w:right="-59" w:rightChars="-28" w:firstLine="14" w:firstLineChars="7"/>
              <w:jc w:val="left"/>
              <w:rPr>
                <w:rFonts w:eastAsia="仿宋_GB2312"/>
                <w:b w:val="0"/>
                <w:color w:val="000000"/>
                <w:sz w:val="21"/>
                <w:szCs w:val="21"/>
              </w:rPr>
            </w:pPr>
            <w:r>
              <w:rPr>
                <w:rFonts w:eastAsia="仿宋_GB2312"/>
                <w:b w:val="0"/>
                <w:color w:val="000000"/>
                <w:sz w:val="21"/>
                <w:szCs w:val="21"/>
              </w:rPr>
              <w:t>依法参加社会保险（</w:t>
            </w:r>
            <w:r>
              <w:rPr>
                <w:rFonts w:hint="eastAsia" w:eastAsia="仿宋_GB2312"/>
                <w:b w:val="0"/>
                <w:color w:val="000000"/>
                <w:sz w:val="21"/>
                <w:szCs w:val="21"/>
                <w:lang w:val="en-US" w:eastAsia="zh-CN"/>
              </w:rPr>
              <w:t>8</w:t>
            </w:r>
            <w:r>
              <w:rPr>
                <w:rFonts w:eastAsia="仿宋_GB2312"/>
                <w:b w:val="0"/>
                <w:color w:val="000000"/>
                <w:sz w:val="21"/>
                <w:szCs w:val="21"/>
              </w:rPr>
              <w:t>分）</w:t>
            </w: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企业依法为员工办理社会保险登记，参保率为100%。（</w:t>
            </w:r>
            <w:r>
              <w:rPr>
                <w:rFonts w:hint="eastAsia" w:eastAsia="仿宋_GB2312"/>
                <w:b w:val="0"/>
                <w:color w:val="000000"/>
                <w:sz w:val="21"/>
                <w:szCs w:val="21"/>
                <w:lang w:val="en-US" w:eastAsia="zh-CN"/>
              </w:rPr>
              <w:t>6</w:t>
            </w:r>
            <w:r>
              <w:rPr>
                <w:rFonts w:eastAsia="仿宋_GB2312"/>
                <w:b w:val="0"/>
                <w:color w:val="000000"/>
                <w:sz w:val="21"/>
                <w:szCs w:val="21"/>
              </w:rPr>
              <w:t>分）</w:t>
            </w:r>
            <w:r>
              <w:rPr>
                <w:rFonts w:hint="eastAsia" w:eastAsia="仿宋_GB2312"/>
                <w:b w:val="0"/>
                <w:color w:val="000000"/>
                <w:sz w:val="21"/>
                <w:szCs w:val="21"/>
                <w:lang w:eastAsia="zh-CN"/>
              </w:rPr>
              <w:t>（</w:t>
            </w:r>
            <w:r>
              <w:rPr>
                <w:rFonts w:eastAsia="仿宋_GB2312"/>
                <w:b w:val="0"/>
                <w:color w:val="000000"/>
                <w:sz w:val="21"/>
                <w:szCs w:val="21"/>
              </w:rPr>
              <w:t>参保率</w:t>
            </w:r>
            <w:r>
              <w:rPr>
                <w:rFonts w:hint="eastAsia" w:eastAsia="仿宋_GB2312"/>
                <w:b w:val="0"/>
                <w:color w:val="000000"/>
                <w:sz w:val="21"/>
                <w:szCs w:val="21"/>
                <w:lang w:eastAsia="zh-CN"/>
              </w:rPr>
              <w:t>达不到</w:t>
            </w:r>
            <w:r>
              <w:rPr>
                <w:rFonts w:eastAsia="仿宋_GB2312"/>
                <w:b w:val="0"/>
                <w:color w:val="000000"/>
                <w:sz w:val="21"/>
                <w:szCs w:val="21"/>
              </w:rPr>
              <w:t>100%</w:t>
            </w:r>
            <w:r>
              <w:rPr>
                <w:rFonts w:hint="eastAsia" w:eastAsia="仿宋_GB2312"/>
                <w:b w:val="0"/>
                <w:color w:val="000000"/>
                <w:sz w:val="21"/>
                <w:szCs w:val="21"/>
                <w:lang w:eastAsia="zh-CN"/>
              </w:rPr>
              <w:t>的记</w:t>
            </w:r>
            <w:r>
              <w:rPr>
                <w:rFonts w:hint="eastAsia" w:eastAsia="仿宋_GB2312"/>
                <w:b w:val="0"/>
                <w:color w:val="000000"/>
                <w:sz w:val="21"/>
                <w:szCs w:val="21"/>
                <w:lang w:val="en-US" w:eastAsia="zh-CN"/>
              </w:rPr>
              <w:t>0分</w:t>
            </w:r>
            <w:r>
              <w:rPr>
                <w:rFonts w:hint="eastAsia" w:eastAsia="仿宋_GB2312"/>
                <w:b w:val="0"/>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企业依法依规及时为员工办理社会保险等各项相关手续。（</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5" w:type="dxa"/>
            <w:noWrap w:val="0"/>
            <w:vAlign w:val="center"/>
          </w:tcPr>
          <w:p>
            <w:pPr>
              <w:pStyle w:val="2"/>
              <w:adjustRightInd w:val="0"/>
              <w:snapToGrid w:val="0"/>
              <w:spacing w:line="280" w:lineRule="exact"/>
              <w:rPr>
                <w:rFonts w:hint="eastAsia" w:eastAsia="仿宋_GB2312"/>
                <w:b w:val="0"/>
                <w:color w:val="000000"/>
                <w:sz w:val="21"/>
                <w:szCs w:val="21"/>
                <w:lang w:val="en-US" w:eastAsia="zh-CN"/>
              </w:rPr>
            </w:pPr>
            <w:r>
              <w:rPr>
                <w:rFonts w:hint="eastAsia"/>
                <w:b w:val="0"/>
                <w:color w:val="000000"/>
                <w:sz w:val="21"/>
                <w:szCs w:val="21"/>
                <w:lang w:val="en-US" w:eastAsia="zh-CN"/>
              </w:rPr>
              <w:t>5</w:t>
            </w:r>
          </w:p>
        </w:tc>
        <w:tc>
          <w:tcPr>
            <w:tcW w:w="3165" w:type="dxa"/>
            <w:noWrap w:val="0"/>
            <w:vAlign w:val="center"/>
          </w:tcPr>
          <w:p>
            <w:pPr>
              <w:pStyle w:val="2"/>
              <w:adjustRightInd w:val="0"/>
              <w:snapToGrid w:val="0"/>
              <w:spacing w:line="280" w:lineRule="exact"/>
              <w:ind w:left="-67" w:leftChars="-32" w:right="-73" w:rightChars="-35" w:firstLine="1"/>
              <w:jc w:val="left"/>
              <w:rPr>
                <w:rFonts w:eastAsia="仿宋_GB2312"/>
                <w:b w:val="0"/>
                <w:color w:val="000000"/>
                <w:spacing w:val="-4"/>
                <w:sz w:val="21"/>
                <w:szCs w:val="21"/>
              </w:rPr>
            </w:pPr>
            <w:r>
              <w:rPr>
                <w:rFonts w:hint="eastAsia" w:eastAsia="仿宋_GB2312"/>
                <w:b w:val="0"/>
                <w:color w:val="000000"/>
                <w:spacing w:val="-4"/>
                <w:sz w:val="21"/>
                <w:szCs w:val="21"/>
                <w:lang w:val="en-US" w:eastAsia="zh-CN"/>
              </w:rPr>
              <w:t>依法缴纳住房公积金（6分）</w:t>
            </w:r>
          </w:p>
        </w:tc>
        <w:tc>
          <w:tcPr>
            <w:tcW w:w="17357" w:type="dxa"/>
            <w:noWrap w:val="0"/>
            <w:vAlign w:val="center"/>
          </w:tcPr>
          <w:p>
            <w:pPr>
              <w:pStyle w:val="2"/>
              <w:adjustRightInd w:val="0"/>
              <w:snapToGrid w:val="0"/>
              <w:spacing w:line="280" w:lineRule="exact"/>
              <w:jc w:val="both"/>
              <w:rPr>
                <w:rFonts w:hint="eastAsia" w:eastAsia="仿宋_GB2312"/>
                <w:b w:val="0"/>
                <w:color w:val="000000"/>
                <w:sz w:val="21"/>
                <w:szCs w:val="21"/>
                <w:lang w:eastAsia="zh-CN"/>
              </w:rPr>
            </w:pPr>
            <w:r>
              <w:rPr>
                <w:rFonts w:eastAsia="仿宋_GB2312"/>
                <w:b w:val="0"/>
                <w:color w:val="000000"/>
                <w:sz w:val="21"/>
                <w:szCs w:val="21"/>
              </w:rPr>
              <w:t>企业依法为员工</w:t>
            </w:r>
            <w:r>
              <w:rPr>
                <w:rFonts w:hint="eastAsia" w:eastAsia="仿宋_GB2312"/>
                <w:b w:val="0"/>
                <w:color w:val="000000"/>
                <w:sz w:val="21"/>
                <w:szCs w:val="21"/>
                <w:lang w:eastAsia="zh-CN"/>
              </w:rPr>
              <w:t>缴纳住房公积金</w:t>
            </w:r>
            <w:r>
              <w:rPr>
                <w:rFonts w:eastAsia="仿宋_GB2312"/>
                <w:b w:val="0"/>
                <w:color w:val="000000"/>
                <w:sz w:val="21"/>
                <w:szCs w:val="21"/>
              </w:rPr>
              <w:t>，参保率为100%。（</w:t>
            </w:r>
            <w:r>
              <w:rPr>
                <w:rFonts w:hint="eastAsia" w:eastAsia="仿宋_GB2312"/>
                <w:b w:val="0"/>
                <w:color w:val="000000"/>
                <w:sz w:val="21"/>
                <w:szCs w:val="21"/>
                <w:lang w:val="en-US" w:eastAsia="zh-CN"/>
              </w:rPr>
              <w:t>6</w:t>
            </w:r>
            <w:r>
              <w:rPr>
                <w:rFonts w:eastAsia="仿宋_GB2312"/>
                <w:b w:val="0"/>
                <w:color w:val="000000"/>
                <w:sz w:val="21"/>
                <w:szCs w:val="21"/>
              </w:rPr>
              <w:t>分）</w:t>
            </w:r>
            <w:r>
              <w:rPr>
                <w:rFonts w:hint="eastAsia" w:eastAsia="仿宋_GB2312"/>
                <w:b w:val="0"/>
                <w:color w:val="000000"/>
                <w:sz w:val="21"/>
                <w:szCs w:val="21"/>
                <w:lang w:eastAsia="zh-CN"/>
              </w:rPr>
              <w:t>（</w:t>
            </w:r>
            <w:r>
              <w:rPr>
                <w:rFonts w:eastAsia="仿宋_GB2312"/>
                <w:b w:val="0"/>
                <w:color w:val="000000"/>
                <w:sz w:val="21"/>
                <w:szCs w:val="21"/>
              </w:rPr>
              <w:t>参保率</w:t>
            </w:r>
            <w:r>
              <w:rPr>
                <w:rFonts w:hint="eastAsia" w:eastAsia="仿宋_GB2312"/>
                <w:b w:val="0"/>
                <w:color w:val="000000"/>
                <w:sz w:val="21"/>
                <w:szCs w:val="21"/>
                <w:lang w:eastAsia="zh-CN"/>
              </w:rPr>
              <w:t>达不到</w:t>
            </w:r>
            <w:r>
              <w:rPr>
                <w:rFonts w:eastAsia="仿宋_GB2312"/>
                <w:b w:val="0"/>
                <w:color w:val="000000"/>
                <w:sz w:val="21"/>
                <w:szCs w:val="21"/>
              </w:rPr>
              <w:t>100%</w:t>
            </w:r>
            <w:r>
              <w:rPr>
                <w:rFonts w:hint="eastAsia" w:eastAsia="仿宋_GB2312"/>
                <w:b w:val="0"/>
                <w:color w:val="000000"/>
                <w:sz w:val="21"/>
                <w:szCs w:val="21"/>
                <w:lang w:eastAsia="zh-CN"/>
              </w:rPr>
              <w:t>的记</w:t>
            </w:r>
            <w:r>
              <w:rPr>
                <w:rFonts w:hint="eastAsia" w:eastAsia="仿宋_GB2312"/>
                <w:b w:val="0"/>
                <w:color w:val="000000"/>
                <w:sz w:val="21"/>
                <w:szCs w:val="21"/>
                <w:lang w:val="en-US" w:eastAsia="zh-CN"/>
              </w:rPr>
              <w:t>0分</w:t>
            </w:r>
            <w:r>
              <w:rPr>
                <w:rFonts w:hint="eastAsia" w:eastAsia="仿宋_GB2312"/>
                <w:b w:val="0"/>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65" w:type="dxa"/>
            <w:vMerge w:val="restart"/>
            <w:noWrap w:val="0"/>
            <w:vAlign w:val="center"/>
          </w:tcPr>
          <w:p>
            <w:pPr>
              <w:pStyle w:val="2"/>
              <w:adjustRightInd w:val="0"/>
              <w:snapToGrid w:val="0"/>
              <w:spacing w:line="280" w:lineRule="exact"/>
              <w:rPr>
                <w:rFonts w:hint="eastAsia" w:eastAsia="仿宋_GB2312"/>
                <w:b w:val="0"/>
                <w:color w:val="000000"/>
                <w:sz w:val="21"/>
                <w:szCs w:val="21"/>
                <w:lang w:eastAsia="zh-CN"/>
              </w:rPr>
            </w:pPr>
            <w:r>
              <w:rPr>
                <w:rFonts w:hint="eastAsia"/>
                <w:b w:val="0"/>
                <w:color w:val="000000"/>
                <w:sz w:val="21"/>
                <w:szCs w:val="21"/>
                <w:lang w:val="en-US" w:eastAsia="zh-CN"/>
              </w:rPr>
              <w:t>6</w:t>
            </w:r>
          </w:p>
        </w:tc>
        <w:tc>
          <w:tcPr>
            <w:tcW w:w="3165" w:type="dxa"/>
            <w:vMerge w:val="restart"/>
            <w:noWrap w:val="0"/>
            <w:vAlign w:val="center"/>
          </w:tcPr>
          <w:p>
            <w:pPr>
              <w:pStyle w:val="2"/>
              <w:adjustRightInd w:val="0"/>
              <w:snapToGrid w:val="0"/>
              <w:spacing w:line="280" w:lineRule="exact"/>
              <w:ind w:left="-67" w:leftChars="-32" w:right="-73" w:rightChars="-35" w:firstLine="1"/>
              <w:jc w:val="left"/>
              <w:rPr>
                <w:rFonts w:eastAsia="仿宋_GB2312"/>
                <w:b w:val="0"/>
                <w:color w:val="000000"/>
                <w:spacing w:val="-4"/>
                <w:sz w:val="21"/>
                <w:szCs w:val="21"/>
              </w:rPr>
            </w:pPr>
            <w:r>
              <w:rPr>
                <w:rFonts w:hint="eastAsia" w:eastAsia="仿宋_GB2312"/>
                <w:b w:val="0"/>
                <w:color w:val="000000"/>
                <w:spacing w:val="-4"/>
                <w:sz w:val="21"/>
                <w:szCs w:val="21"/>
                <w:lang w:val="en-US" w:eastAsia="zh-CN"/>
              </w:rPr>
              <w:t>严格执行国家工时、休息休假制度（8分）</w:t>
            </w: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企业依法执行工时制度。（</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企业实行综合计算工时工作制或不定时工作制，应及时报劳动行政部门审批。（</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企业依法遵守延长工作时间的规定。（2分）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pacing w:val="-12"/>
                <w:sz w:val="21"/>
                <w:szCs w:val="21"/>
              </w:rPr>
            </w:pPr>
            <w:r>
              <w:rPr>
                <w:rFonts w:eastAsia="仿宋_GB2312"/>
                <w:b w:val="0"/>
                <w:color w:val="000000"/>
                <w:spacing w:val="-12"/>
                <w:sz w:val="21"/>
                <w:szCs w:val="21"/>
              </w:rPr>
              <w:t>企业依法执行休息休假制度。（2分）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65" w:type="dxa"/>
            <w:vMerge w:val="restart"/>
            <w:noWrap w:val="0"/>
            <w:vAlign w:val="center"/>
          </w:tcPr>
          <w:p>
            <w:pPr>
              <w:pStyle w:val="2"/>
              <w:adjustRightInd w:val="0"/>
              <w:snapToGrid w:val="0"/>
              <w:spacing w:line="280" w:lineRule="exact"/>
              <w:rPr>
                <w:rFonts w:hint="eastAsia" w:eastAsia="仿宋_GB2312"/>
                <w:b w:val="0"/>
                <w:color w:val="000000"/>
                <w:sz w:val="21"/>
                <w:szCs w:val="21"/>
                <w:lang w:eastAsia="zh-CN"/>
              </w:rPr>
            </w:pPr>
            <w:r>
              <w:rPr>
                <w:rFonts w:hint="eastAsia"/>
                <w:b w:val="0"/>
                <w:color w:val="000000"/>
                <w:sz w:val="21"/>
                <w:szCs w:val="21"/>
                <w:lang w:val="en-US" w:eastAsia="zh-CN"/>
              </w:rPr>
              <w:t>7</w:t>
            </w:r>
          </w:p>
        </w:tc>
        <w:tc>
          <w:tcPr>
            <w:tcW w:w="3165" w:type="dxa"/>
            <w:vMerge w:val="restart"/>
            <w:noWrap w:val="0"/>
            <w:vAlign w:val="center"/>
          </w:tcPr>
          <w:p>
            <w:pPr>
              <w:pStyle w:val="2"/>
              <w:adjustRightInd w:val="0"/>
              <w:snapToGrid w:val="0"/>
              <w:spacing w:line="280" w:lineRule="exact"/>
              <w:ind w:left="-82" w:leftChars="-44" w:right="-107" w:rightChars="-51" w:hanging="10" w:hangingChars="5"/>
              <w:jc w:val="left"/>
              <w:rPr>
                <w:rFonts w:eastAsia="仿宋_GB2312"/>
                <w:b w:val="0"/>
                <w:color w:val="000000"/>
                <w:sz w:val="21"/>
                <w:szCs w:val="21"/>
              </w:rPr>
            </w:pPr>
            <w:r>
              <w:rPr>
                <w:rFonts w:hint="eastAsia" w:eastAsia="仿宋_GB2312"/>
                <w:b w:val="0"/>
                <w:color w:val="000000"/>
                <w:sz w:val="21"/>
                <w:szCs w:val="21"/>
                <w:lang w:val="en-US" w:eastAsia="zh-CN"/>
              </w:rPr>
              <w:t>建立健全劳动保护措施和劳动安全卫生条件（</w:t>
            </w:r>
            <w:r>
              <w:rPr>
                <w:rFonts w:hint="eastAsia"/>
                <w:b w:val="0"/>
                <w:color w:val="000000"/>
                <w:sz w:val="21"/>
                <w:szCs w:val="21"/>
                <w:lang w:val="en-US" w:eastAsia="zh-CN"/>
              </w:rPr>
              <w:t>9</w:t>
            </w:r>
            <w:r>
              <w:rPr>
                <w:rFonts w:hint="eastAsia" w:eastAsia="仿宋_GB2312"/>
                <w:b w:val="0"/>
                <w:color w:val="000000"/>
                <w:sz w:val="21"/>
                <w:szCs w:val="21"/>
                <w:lang w:val="en-US" w:eastAsia="zh-CN"/>
              </w:rPr>
              <w:t>分）</w:t>
            </w: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企业建立健全劳动安全卫生制度，对员工进行了劳动安全卫生教育。（</w:t>
            </w:r>
            <w:r>
              <w:rPr>
                <w:rFonts w:hint="eastAsia" w:eastAsia="仿宋_GB2312"/>
                <w:b w:val="0"/>
                <w:color w:val="000000"/>
                <w:sz w:val="21"/>
                <w:szCs w:val="21"/>
                <w:lang w:val="en-US" w:eastAsia="zh-CN"/>
              </w:rPr>
              <w:t>1</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企业配备了劳动安全卫生设施，为员工提供了符合国家规定的劳动安全卫生条件和必要的劳动保护用品，有特殊劳动保护措施。（</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企业对从事特种作业的员工进行专门培训，员工上岗前已取得特种作业资格。（</w:t>
            </w:r>
            <w:r>
              <w:rPr>
                <w:rFonts w:hint="eastAsia"/>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企业建立了伤亡事故、职业病统计报告和处理制度及职业病防治措施，对特殊工作岗位员工入职前进行入职体检，入职后定期安排职业病防治检查，对从事有职业危害作业的员工定期进行健康检查。（2分）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企业依法及时为因工作遭受事故伤害或者患职业病的员工办理工伤认定和劳动能力等级鉴定，并及时支付有关工伤待遇。（</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765" w:type="dxa"/>
            <w:vMerge w:val="restart"/>
            <w:noWrap w:val="0"/>
            <w:vAlign w:val="center"/>
          </w:tcPr>
          <w:p>
            <w:pPr>
              <w:pStyle w:val="2"/>
              <w:adjustRightInd w:val="0"/>
              <w:snapToGrid w:val="0"/>
              <w:spacing w:line="280" w:lineRule="exact"/>
              <w:rPr>
                <w:rFonts w:hint="eastAsia" w:eastAsia="仿宋_GB2312"/>
                <w:b w:val="0"/>
                <w:color w:val="000000"/>
                <w:sz w:val="21"/>
                <w:szCs w:val="21"/>
                <w:lang w:eastAsia="zh-CN"/>
              </w:rPr>
            </w:pPr>
            <w:r>
              <w:rPr>
                <w:rFonts w:hint="eastAsia"/>
                <w:b w:val="0"/>
                <w:color w:val="000000"/>
                <w:sz w:val="21"/>
                <w:szCs w:val="21"/>
                <w:lang w:val="en-US" w:eastAsia="zh-CN"/>
              </w:rPr>
              <w:t>8</w:t>
            </w:r>
          </w:p>
        </w:tc>
        <w:tc>
          <w:tcPr>
            <w:tcW w:w="3165" w:type="dxa"/>
            <w:vMerge w:val="restart"/>
            <w:noWrap w:val="0"/>
            <w:vAlign w:val="center"/>
          </w:tcPr>
          <w:p>
            <w:pPr>
              <w:pStyle w:val="2"/>
              <w:adjustRightInd w:val="0"/>
              <w:snapToGrid w:val="0"/>
              <w:spacing w:line="280" w:lineRule="exact"/>
              <w:ind w:right="-73" w:rightChars="-35"/>
              <w:jc w:val="left"/>
              <w:rPr>
                <w:rFonts w:eastAsia="仿宋_GB2312"/>
                <w:b w:val="0"/>
                <w:color w:val="000000"/>
                <w:sz w:val="21"/>
                <w:szCs w:val="21"/>
              </w:rPr>
            </w:pPr>
            <w:r>
              <w:rPr>
                <w:rFonts w:eastAsia="仿宋_GB2312"/>
                <w:b w:val="0"/>
                <w:color w:val="000000"/>
                <w:sz w:val="21"/>
                <w:szCs w:val="21"/>
              </w:rPr>
              <w:t>遵守女职工和未成年工劳动保护规定（</w:t>
            </w:r>
            <w:r>
              <w:rPr>
                <w:rFonts w:hint="eastAsia" w:eastAsia="仿宋_GB2312"/>
                <w:b w:val="0"/>
                <w:color w:val="000000"/>
                <w:sz w:val="21"/>
                <w:szCs w:val="21"/>
                <w:lang w:val="en-US" w:eastAsia="zh-CN"/>
              </w:rPr>
              <w:t>10</w:t>
            </w:r>
            <w:r>
              <w:rPr>
                <w:rFonts w:eastAsia="仿宋_GB2312"/>
                <w:b w:val="0"/>
                <w:color w:val="000000"/>
                <w:sz w:val="21"/>
                <w:szCs w:val="21"/>
              </w:rPr>
              <w:t>分）</w:t>
            </w:r>
          </w:p>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企业没有安排女员工从事矿山井下、国家规定的第四级体力劳动强度的劳动和其他禁忌从事的劳动；没有安排女员工在经期从事高处、低温、冷水作业和国家规定的第三级体力劳动强度的劳动。（</w:t>
            </w:r>
            <w:r>
              <w:rPr>
                <w:rFonts w:hint="eastAsia" w:eastAsia="仿宋_GB2312"/>
                <w:b w:val="0"/>
                <w:color w:val="000000"/>
                <w:sz w:val="21"/>
                <w:szCs w:val="21"/>
                <w:lang w:val="en-US" w:eastAsia="zh-CN"/>
              </w:rPr>
              <w:t>1</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没有安排女员工在怀孕期间、哺乳期间从事国家规定的第三级体力劳动强度的劳动和孕期、哺乳期禁忌从事的劳动。对怀孕七个月以上和哺乳未满一周岁婴儿的女员工，没有安排其延长工作时间和夜班劳动。（</w:t>
            </w:r>
            <w:r>
              <w:rPr>
                <w:rFonts w:hint="eastAsia" w:eastAsia="仿宋_GB2312"/>
                <w:b w:val="0"/>
                <w:color w:val="000000"/>
                <w:sz w:val="21"/>
                <w:szCs w:val="21"/>
                <w:lang w:val="en-US" w:eastAsia="zh-CN"/>
              </w:rPr>
              <w:t>1</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5" w:type="dxa"/>
            <w:vMerge w:val="continue"/>
            <w:shd w:val="clear" w:color="auto" w:fill="auto"/>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shd w:val="clear" w:color="auto" w:fill="auto"/>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企业依法安排生育女员工休产假。（</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5" w:type="dxa"/>
            <w:vMerge w:val="continue"/>
            <w:shd w:val="clear" w:color="auto" w:fill="auto"/>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shd w:val="clear" w:color="auto" w:fill="auto"/>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企业没有在女员工怀孕期、产期、哺乳期降低其基本工资或者借故解除劳动合同。（</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65" w:type="dxa"/>
            <w:vMerge w:val="continue"/>
            <w:shd w:val="clear" w:color="auto" w:fill="auto"/>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shd w:val="clear" w:color="auto" w:fill="auto"/>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企业没有安排未成年工（指年满十六周岁未满十八周岁的劳动者）从事矿山井下、有毒有害、国家规定的第四级体力劳动强度的劳动和其他禁忌从事的劳动。（1分）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765" w:type="dxa"/>
            <w:vMerge w:val="continue"/>
            <w:shd w:val="clear" w:color="auto" w:fill="auto"/>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shd w:val="clear" w:color="auto" w:fill="auto"/>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企业对女员工、未成年工定期进行健康检查。（1分）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65" w:type="dxa"/>
            <w:vMerge w:val="continue"/>
            <w:shd w:val="clear" w:color="auto" w:fill="auto"/>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shd w:val="clear" w:color="auto" w:fill="auto"/>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shd w:val="clear" w:color="auto" w:fill="auto"/>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企业依法为符合条件享受生育保险待遇的员工办理生育保险就医确认和生育津贴手续，并及时支付有关生育保险待遇。（</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65" w:type="dxa"/>
            <w:vMerge w:val="restart"/>
            <w:shd w:val="clear" w:color="auto" w:fill="auto"/>
            <w:noWrap w:val="0"/>
            <w:vAlign w:val="center"/>
          </w:tcPr>
          <w:p>
            <w:pPr>
              <w:pStyle w:val="2"/>
              <w:adjustRightInd w:val="0"/>
              <w:snapToGrid w:val="0"/>
              <w:spacing w:line="280" w:lineRule="exact"/>
              <w:rPr>
                <w:rFonts w:hint="default" w:eastAsia="仿宋_GB2312"/>
                <w:b w:val="0"/>
                <w:color w:val="000000"/>
                <w:sz w:val="21"/>
                <w:szCs w:val="21"/>
                <w:lang w:val="en-US" w:eastAsia="zh-CN"/>
              </w:rPr>
            </w:pPr>
            <w:r>
              <w:rPr>
                <w:rFonts w:hint="eastAsia"/>
                <w:b w:val="0"/>
                <w:color w:val="000000"/>
                <w:sz w:val="21"/>
                <w:szCs w:val="21"/>
                <w:lang w:val="en-US" w:eastAsia="zh-CN"/>
              </w:rPr>
              <w:t>9</w:t>
            </w:r>
          </w:p>
        </w:tc>
        <w:tc>
          <w:tcPr>
            <w:tcW w:w="3165" w:type="dxa"/>
            <w:vMerge w:val="restart"/>
            <w:shd w:val="clear" w:color="auto" w:fill="auto"/>
            <w:noWrap w:val="0"/>
            <w:vAlign w:val="center"/>
          </w:tcPr>
          <w:p>
            <w:pPr>
              <w:pStyle w:val="2"/>
              <w:adjustRightInd w:val="0"/>
              <w:snapToGrid w:val="0"/>
              <w:spacing w:line="280" w:lineRule="exact"/>
              <w:ind w:left="-80" w:leftChars="-38" w:right="-86" w:rightChars="-41"/>
              <w:jc w:val="left"/>
              <w:rPr>
                <w:rFonts w:eastAsia="仿宋_GB2312"/>
                <w:b w:val="0"/>
                <w:color w:val="000000"/>
                <w:sz w:val="21"/>
                <w:szCs w:val="21"/>
              </w:rPr>
            </w:pPr>
            <w:r>
              <w:rPr>
                <w:rFonts w:hint="eastAsia" w:eastAsia="仿宋_GB2312"/>
                <w:b w:val="0"/>
                <w:color w:val="000000"/>
                <w:sz w:val="21"/>
                <w:szCs w:val="21"/>
                <w:lang w:val="en-US" w:eastAsia="zh-CN"/>
              </w:rPr>
              <w:t>遵守《工会法》的规定，依法足额缴纳工会经费，职工入会率达80%以上（4分）</w:t>
            </w:r>
          </w:p>
        </w:tc>
        <w:tc>
          <w:tcPr>
            <w:tcW w:w="17357" w:type="dxa"/>
            <w:shd w:val="clear" w:color="auto" w:fill="auto"/>
            <w:noWrap w:val="0"/>
            <w:vAlign w:val="center"/>
          </w:tcPr>
          <w:p>
            <w:pPr>
              <w:pStyle w:val="2"/>
              <w:adjustRightInd w:val="0"/>
              <w:snapToGrid w:val="0"/>
              <w:spacing w:line="280" w:lineRule="exact"/>
              <w:jc w:val="both"/>
              <w:rPr>
                <w:rFonts w:hint="default" w:eastAsia="仿宋_GB2312"/>
                <w:b w:val="0"/>
                <w:color w:val="000000"/>
                <w:spacing w:val="-4"/>
                <w:sz w:val="21"/>
                <w:szCs w:val="21"/>
                <w:lang w:val="en-US"/>
              </w:rPr>
            </w:pPr>
            <w:r>
              <w:rPr>
                <w:rFonts w:hint="eastAsia" w:eastAsia="仿宋_GB2312"/>
                <w:b w:val="0"/>
                <w:color w:val="000000"/>
                <w:sz w:val="21"/>
                <w:szCs w:val="21"/>
                <w:lang w:val="en-US" w:eastAsia="zh-CN"/>
              </w:rPr>
              <w:t>依法足额缴纳工会经费</w:t>
            </w:r>
            <w:r>
              <w:rPr>
                <w:rFonts w:hint="eastAsia"/>
                <w:b w:val="0"/>
                <w:color w:val="000000"/>
                <w:sz w:val="21"/>
                <w:szCs w:val="21"/>
                <w:lang w:val="en-US" w:eastAsia="zh-CN"/>
              </w:rPr>
              <w:t>。</w:t>
            </w:r>
            <w:r>
              <w:rPr>
                <w:rFonts w:eastAsia="仿宋_GB2312"/>
                <w:b w:val="0"/>
                <w:color w:val="000000"/>
                <w:sz w:val="21"/>
                <w:szCs w:val="21"/>
              </w:rPr>
              <w:t>（</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65" w:type="dxa"/>
            <w:vMerge w:val="continue"/>
            <w:shd w:val="clear" w:color="auto" w:fill="auto"/>
            <w:noWrap w:val="0"/>
            <w:vAlign w:val="center"/>
          </w:tcPr>
          <w:p>
            <w:pPr>
              <w:pStyle w:val="2"/>
              <w:adjustRightInd w:val="0"/>
              <w:snapToGrid w:val="0"/>
              <w:spacing w:line="280" w:lineRule="exact"/>
              <w:rPr>
                <w:rFonts w:hint="eastAsia" w:eastAsia="仿宋_GB2312"/>
                <w:b w:val="0"/>
                <w:color w:val="000000"/>
                <w:sz w:val="21"/>
                <w:szCs w:val="21"/>
                <w:lang w:val="en-US" w:eastAsia="zh-CN"/>
              </w:rPr>
            </w:pPr>
          </w:p>
        </w:tc>
        <w:tc>
          <w:tcPr>
            <w:tcW w:w="3165" w:type="dxa"/>
            <w:vMerge w:val="continue"/>
            <w:shd w:val="clear" w:color="auto" w:fill="auto"/>
            <w:noWrap w:val="0"/>
            <w:vAlign w:val="center"/>
          </w:tcPr>
          <w:p>
            <w:pPr>
              <w:pStyle w:val="2"/>
              <w:adjustRightInd w:val="0"/>
              <w:snapToGrid w:val="0"/>
              <w:spacing w:line="280" w:lineRule="exact"/>
              <w:ind w:left="-80" w:leftChars="-38" w:right="-86" w:rightChars="-41"/>
              <w:jc w:val="left"/>
              <w:rPr>
                <w:rFonts w:hint="eastAsia" w:eastAsia="仿宋_GB2312"/>
                <w:b w:val="0"/>
                <w:color w:val="000000"/>
                <w:sz w:val="21"/>
                <w:szCs w:val="21"/>
                <w:lang w:val="en-US" w:eastAsia="zh-CN"/>
              </w:rPr>
            </w:pPr>
          </w:p>
        </w:tc>
        <w:tc>
          <w:tcPr>
            <w:tcW w:w="17357" w:type="dxa"/>
            <w:shd w:val="clear" w:color="auto" w:fill="auto"/>
            <w:noWrap w:val="0"/>
            <w:vAlign w:val="center"/>
          </w:tcPr>
          <w:p>
            <w:pPr>
              <w:pStyle w:val="2"/>
              <w:adjustRightInd w:val="0"/>
              <w:snapToGrid w:val="0"/>
              <w:spacing w:line="280" w:lineRule="exact"/>
              <w:jc w:val="both"/>
              <w:rPr>
                <w:rFonts w:hint="eastAsia" w:eastAsia="仿宋_GB2312"/>
                <w:b w:val="0"/>
                <w:color w:val="000000"/>
                <w:sz w:val="21"/>
                <w:szCs w:val="21"/>
                <w:lang w:val="en-US" w:eastAsia="zh-CN"/>
              </w:rPr>
            </w:pPr>
            <w:r>
              <w:rPr>
                <w:rFonts w:hint="eastAsia" w:eastAsia="仿宋_GB2312"/>
                <w:b w:val="0"/>
                <w:color w:val="000000"/>
                <w:sz w:val="21"/>
                <w:szCs w:val="21"/>
                <w:lang w:val="en-US" w:eastAsia="zh-CN"/>
              </w:rPr>
              <w:t>工会组织职工（含劳务派遣工）入会率达不到</w:t>
            </w:r>
            <w:r>
              <w:rPr>
                <w:rFonts w:hint="eastAsia"/>
                <w:b w:val="0"/>
                <w:color w:val="000000"/>
                <w:sz w:val="21"/>
                <w:szCs w:val="21"/>
                <w:lang w:val="en-US" w:eastAsia="zh-CN"/>
              </w:rPr>
              <w:t>80</w:t>
            </w:r>
            <w:r>
              <w:rPr>
                <w:rFonts w:hint="eastAsia" w:eastAsia="仿宋_GB2312"/>
                <w:b w:val="0"/>
                <w:color w:val="000000"/>
                <w:sz w:val="21"/>
                <w:szCs w:val="21"/>
                <w:lang w:val="en-US" w:eastAsia="zh-CN"/>
              </w:rPr>
              <w:t>%的记0分</w:t>
            </w:r>
            <w:r>
              <w:rPr>
                <w:rFonts w:hint="eastAsia"/>
                <w:b w:val="0"/>
                <w:color w:val="000000"/>
                <w:sz w:val="21"/>
                <w:szCs w:val="21"/>
                <w:lang w:val="en-US" w:eastAsia="zh-CN"/>
              </w:rPr>
              <w:t>，达到80%以上（含85%）的记2分。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65" w:type="dxa"/>
            <w:vMerge w:val="restart"/>
            <w:shd w:val="clear" w:color="auto" w:fill="auto"/>
            <w:noWrap w:val="0"/>
            <w:vAlign w:val="center"/>
          </w:tcPr>
          <w:p>
            <w:pPr>
              <w:pStyle w:val="2"/>
              <w:adjustRightInd w:val="0"/>
              <w:snapToGrid w:val="0"/>
              <w:spacing w:line="280" w:lineRule="exact"/>
              <w:rPr>
                <w:rFonts w:hint="default" w:eastAsia="仿宋_GB2312"/>
                <w:b w:val="0"/>
                <w:color w:val="000000"/>
                <w:sz w:val="21"/>
                <w:szCs w:val="21"/>
                <w:lang w:val="en-US" w:eastAsia="zh-CN"/>
              </w:rPr>
            </w:pPr>
            <w:r>
              <w:rPr>
                <w:rFonts w:hint="eastAsia"/>
                <w:b w:val="0"/>
                <w:color w:val="000000"/>
                <w:sz w:val="21"/>
                <w:szCs w:val="21"/>
                <w:lang w:val="en-US" w:eastAsia="zh-CN"/>
              </w:rPr>
              <w:t>10</w:t>
            </w:r>
          </w:p>
        </w:tc>
        <w:tc>
          <w:tcPr>
            <w:tcW w:w="3165" w:type="dxa"/>
            <w:vMerge w:val="restart"/>
            <w:shd w:val="clear" w:color="auto" w:fill="auto"/>
            <w:noWrap w:val="0"/>
            <w:vAlign w:val="center"/>
          </w:tcPr>
          <w:p>
            <w:pPr>
              <w:pStyle w:val="2"/>
              <w:adjustRightInd w:val="0"/>
              <w:snapToGrid w:val="0"/>
              <w:spacing w:line="280" w:lineRule="exact"/>
              <w:ind w:left="-80" w:leftChars="-38" w:right="-86" w:rightChars="-41"/>
              <w:jc w:val="left"/>
              <w:rPr>
                <w:rFonts w:eastAsia="仿宋_GB2312"/>
                <w:b w:val="0"/>
                <w:color w:val="000000"/>
                <w:sz w:val="21"/>
                <w:szCs w:val="21"/>
              </w:rPr>
            </w:pPr>
            <w:r>
              <w:rPr>
                <w:rFonts w:eastAsia="仿宋_GB2312"/>
                <w:b w:val="0"/>
                <w:color w:val="000000"/>
                <w:sz w:val="21"/>
                <w:szCs w:val="21"/>
              </w:rPr>
              <w:t>建立集体合同制度，推行集体协商制度（</w:t>
            </w:r>
            <w:r>
              <w:rPr>
                <w:rFonts w:hint="eastAsia" w:eastAsia="仿宋_GB2312"/>
                <w:b w:val="0"/>
                <w:color w:val="000000"/>
                <w:sz w:val="21"/>
                <w:szCs w:val="21"/>
                <w:lang w:val="en-US" w:eastAsia="zh-CN"/>
              </w:rPr>
              <w:t>4</w:t>
            </w:r>
            <w:r>
              <w:rPr>
                <w:rFonts w:eastAsia="仿宋_GB2312"/>
                <w:b w:val="0"/>
                <w:color w:val="000000"/>
                <w:sz w:val="21"/>
                <w:szCs w:val="21"/>
              </w:rPr>
              <w:t>分）</w:t>
            </w:r>
          </w:p>
        </w:tc>
        <w:tc>
          <w:tcPr>
            <w:tcW w:w="17357" w:type="dxa"/>
            <w:shd w:val="clear" w:color="auto" w:fill="auto"/>
            <w:noWrap w:val="0"/>
            <w:vAlign w:val="center"/>
          </w:tcPr>
          <w:p>
            <w:pPr>
              <w:pStyle w:val="2"/>
              <w:adjustRightInd w:val="0"/>
              <w:snapToGrid w:val="0"/>
              <w:spacing w:line="280" w:lineRule="exact"/>
              <w:jc w:val="both"/>
              <w:rPr>
                <w:rFonts w:eastAsia="仿宋_GB2312"/>
                <w:b w:val="0"/>
                <w:color w:val="000000"/>
                <w:spacing w:val="-4"/>
                <w:sz w:val="21"/>
                <w:szCs w:val="21"/>
              </w:rPr>
            </w:pPr>
            <w:r>
              <w:rPr>
                <w:rFonts w:eastAsia="仿宋_GB2312"/>
                <w:b w:val="0"/>
                <w:color w:val="000000"/>
                <w:spacing w:val="-4"/>
                <w:sz w:val="21"/>
                <w:szCs w:val="21"/>
              </w:rPr>
              <w:t>企业推行工资集体协商制度，与员工进行充分协商，就劳动报酬、工资调整、保险福利、女职工权益保护</w:t>
            </w:r>
            <w:r>
              <w:rPr>
                <w:rFonts w:hint="eastAsia" w:eastAsia="仿宋_GB2312"/>
                <w:b w:val="0"/>
                <w:color w:val="000000"/>
                <w:spacing w:val="-4"/>
                <w:sz w:val="21"/>
                <w:szCs w:val="21"/>
                <w:lang w:eastAsia="zh-CN"/>
              </w:rPr>
              <w:t>、劳动安全健康</w:t>
            </w:r>
            <w:r>
              <w:rPr>
                <w:rFonts w:eastAsia="仿宋_GB2312"/>
                <w:b w:val="0"/>
                <w:color w:val="000000"/>
                <w:spacing w:val="-4"/>
                <w:sz w:val="21"/>
                <w:szCs w:val="21"/>
              </w:rPr>
              <w:t>等事项签订内容具体、标准量化、操作性强的集体合同或专项集体合同，并结合企业实际情况进行全面履行。（</w:t>
            </w:r>
            <w:r>
              <w:rPr>
                <w:rFonts w:hint="eastAsia" w:eastAsia="仿宋_GB2312"/>
                <w:b w:val="0"/>
                <w:color w:val="000000"/>
                <w:spacing w:val="-4"/>
                <w:sz w:val="21"/>
                <w:szCs w:val="21"/>
                <w:lang w:val="en-US" w:eastAsia="zh-CN"/>
              </w:rPr>
              <w:t>2</w:t>
            </w:r>
            <w:r>
              <w:rPr>
                <w:rFonts w:eastAsia="仿宋_GB2312"/>
                <w:b w:val="0"/>
                <w:color w:val="000000"/>
                <w:spacing w:val="-4"/>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765" w:type="dxa"/>
            <w:vMerge w:val="continue"/>
            <w:shd w:val="clear" w:color="auto" w:fill="FFC000"/>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shd w:val="clear" w:color="auto" w:fill="FFC000"/>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shd w:val="clear" w:color="auto" w:fill="auto"/>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集体合同草案提交职工代表大会或者全体职工讨论通过。企业订立集体合同后，按规定及时报劳动行政部门审查备案。（</w:t>
            </w:r>
            <w:r>
              <w:rPr>
                <w:rFonts w:hint="eastAsia" w:eastAsia="仿宋_GB2312"/>
                <w:b w:val="0"/>
                <w:color w:val="000000"/>
                <w:sz w:val="21"/>
                <w:szCs w:val="21"/>
                <w:lang w:val="en-US" w:eastAsia="zh-CN"/>
              </w:rPr>
              <w:t>2</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65" w:type="dxa"/>
            <w:vMerge w:val="restart"/>
            <w:noWrap w:val="0"/>
            <w:vAlign w:val="center"/>
          </w:tcPr>
          <w:p>
            <w:pPr>
              <w:pStyle w:val="2"/>
              <w:adjustRightInd w:val="0"/>
              <w:snapToGrid w:val="0"/>
              <w:spacing w:line="280" w:lineRule="exact"/>
              <w:rPr>
                <w:rFonts w:hint="default" w:eastAsia="仿宋_GB2312"/>
                <w:b w:val="0"/>
                <w:color w:val="000000"/>
                <w:sz w:val="21"/>
                <w:szCs w:val="21"/>
                <w:lang w:val="en-US" w:eastAsia="zh-CN"/>
              </w:rPr>
            </w:pPr>
            <w:r>
              <w:rPr>
                <w:rFonts w:hint="eastAsia"/>
                <w:b w:val="0"/>
                <w:color w:val="000000"/>
                <w:sz w:val="21"/>
                <w:szCs w:val="21"/>
                <w:lang w:val="en-US" w:eastAsia="zh-CN"/>
              </w:rPr>
              <w:t>11</w:t>
            </w:r>
          </w:p>
        </w:tc>
        <w:tc>
          <w:tcPr>
            <w:tcW w:w="3165" w:type="dxa"/>
            <w:vMerge w:val="restart"/>
            <w:noWrap w:val="0"/>
            <w:vAlign w:val="center"/>
          </w:tcPr>
          <w:p>
            <w:pPr>
              <w:pStyle w:val="2"/>
              <w:adjustRightInd w:val="0"/>
              <w:snapToGrid w:val="0"/>
              <w:spacing w:line="280" w:lineRule="exact"/>
              <w:ind w:left="-82" w:leftChars="-45" w:right="-73" w:rightChars="-35" w:hanging="12" w:hangingChars="6"/>
              <w:jc w:val="left"/>
              <w:rPr>
                <w:rFonts w:eastAsia="仿宋_GB2312"/>
                <w:b w:val="0"/>
                <w:color w:val="000000"/>
                <w:spacing w:val="-4"/>
                <w:sz w:val="21"/>
                <w:szCs w:val="21"/>
              </w:rPr>
            </w:pPr>
            <w:r>
              <w:rPr>
                <w:rFonts w:hint="eastAsia" w:eastAsia="仿宋_GB2312"/>
                <w:b w:val="0"/>
                <w:color w:val="000000"/>
                <w:spacing w:val="-4"/>
                <w:sz w:val="21"/>
                <w:szCs w:val="21"/>
                <w:lang w:val="en-US" w:eastAsia="zh-CN"/>
              </w:rPr>
              <w:t>有经过专业机构培训的劳动关系协调员，并建立有企业劳动争议调解组织（8分）</w:t>
            </w: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hint="eastAsia" w:eastAsia="仿宋_GB2312"/>
                <w:b w:val="0"/>
                <w:color w:val="000000"/>
                <w:spacing w:val="-4"/>
                <w:sz w:val="21"/>
                <w:szCs w:val="21"/>
                <w:lang w:val="en-US" w:eastAsia="zh-CN"/>
              </w:rPr>
              <w:t>有不少于2名经过专业机构培训的劳动关系协调员。（4分）（少于2名记0分，2名记2分，3名记3分，4名及以上记4分）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企业依法建立健全劳动争议调解组织。（4分）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65" w:type="dxa"/>
            <w:vMerge w:val="restart"/>
            <w:noWrap w:val="0"/>
            <w:vAlign w:val="center"/>
          </w:tcPr>
          <w:p>
            <w:pPr>
              <w:pStyle w:val="2"/>
              <w:adjustRightInd w:val="0"/>
              <w:snapToGrid w:val="0"/>
              <w:spacing w:line="280" w:lineRule="exact"/>
              <w:rPr>
                <w:rFonts w:hint="default" w:eastAsia="仿宋_GB2312"/>
                <w:b w:val="0"/>
                <w:color w:val="000000"/>
                <w:sz w:val="21"/>
                <w:szCs w:val="21"/>
                <w:lang w:val="en-US" w:eastAsia="zh-CN"/>
              </w:rPr>
            </w:pPr>
            <w:r>
              <w:rPr>
                <w:rFonts w:hint="eastAsia" w:eastAsia="仿宋_GB2312"/>
                <w:b w:val="0"/>
                <w:color w:val="000000"/>
                <w:sz w:val="21"/>
                <w:szCs w:val="21"/>
                <w:lang w:val="en-US" w:eastAsia="zh-CN"/>
              </w:rPr>
              <w:t>1</w:t>
            </w:r>
            <w:r>
              <w:rPr>
                <w:rFonts w:hint="eastAsia"/>
                <w:b w:val="0"/>
                <w:color w:val="000000"/>
                <w:sz w:val="21"/>
                <w:szCs w:val="21"/>
                <w:lang w:val="en-US" w:eastAsia="zh-CN"/>
              </w:rPr>
              <w:t>2</w:t>
            </w:r>
          </w:p>
        </w:tc>
        <w:tc>
          <w:tcPr>
            <w:tcW w:w="3165" w:type="dxa"/>
            <w:vMerge w:val="restart"/>
            <w:noWrap w:val="0"/>
            <w:vAlign w:val="center"/>
          </w:tcPr>
          <w:p>
            <w:pPr>
              <w:pStyle w:val="2"/>
              <w:adjustRightInd w:val="0"/>
              <w:snapToGrid w:val="0"/>
              <w:spacing w:line="280" w:lineRule="exact"/>
              <w:ind w:right="-73" w:rightChars="-35"/>
              <w:jc w:val="left"/>
              <w:rPr>
                <w:rFonts w:eastAsia="仿宋_GB2312"/>
                <w:b w:val="0"/>
                <w:color w:val="000000"/>
                <w:sz w:val="21"/>
                <w:szCs w:val="21"/>
              </w:rPr>
            </w:pPr>
            <w:r>
              <w:rPr>
                <w:rFonts w:eastAsia="仿宋_GB2312"/>
                <w:b w:val="0"/>
                <w:color w:val="000000"/>
                <w:sz w:val="21"/>
                <w:szCs w:val="21"/>
              </w:rPr>
              <w:t>依法建立企业规章制度（</w:t>
            </w:r>
            <w:r>
              <w:rPr>
                <w:rFonts w:hint="eastAsia" w:eastAsia="仿宋_GB2312"/>
                <w:b w:val="0"/>
                <w:color w:val="000000"/>
                <w:sz w:val="21"/>
                <w:szCs w:val="21"/>
                <w:lang w:val="en-US" w:eastAsia="zh-CN"/>
              </w:rPr>
              <w:t>8</w:t>
            </w:r>
            <w:r>
              <w:rPr>
                <w:rFonts w:eastAsia="仿宋_GB2312"/>
                <w:b w:val="0"/>
                <w:color w:val="000000"/>
                <w:sz w:val="21"/>
                <w:szCs w:val="21"/>
              </w:rPr>
              <w:t>分）</w:t>
            </w: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企业依法制定规章制度，规章制度内容包括：劳动报酬、工作时间、休息休假、劳动安全卫生、保险福利、职工培训、劳动纪律以及劳动定额管理等其他劳动管理规定。（3分）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企业在制定、修改或者决定直接涉及劳动者切身利益的规章制度或者重大事项时，应当经职工代表大会或者全体职工讨论，提出方案和意见，与工会或者职工代表平等协商确定。（</w:t>
            </w:r>
            <w:r>
              <w:rPr>
                <w:rFonts w:hint="eastAsia" w:eastAsia="仿宋_GB2312"/>
                <w:b w:val="0"/>
                <w:color w:val="000000"/>
                <w:sz w:val="21"/>
                <w:szCs w:val="21"/>
                <w:lang w:val="en-US" w:eastAsia="zh-CN"/>
              </w:rPr>
              <w:t>3</w:t>
            </w:r>
            <w:r>
              <w:rPr>
                <w:rFonts w:eastAsia="仿宋_GB2312"/>
                <w:b w:val="0"/>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企业规章制度通过公示等有效方式告知每个员工。（2分）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765" w:type="dxa"/>
            <w:vMerge w:val="restart"/>
            <w:noWrap w:val="0"/>
            <w:vAlign w:val="center"/>
          </w:tcPr>
          <w:p>
            <w:pPr>
              <w:pStyle w:val="2"/>
              <w:adjustRightInd w:val="0"/>
              <w:snapToGrid w:val="0"/>
              <w:spacing w:line="280" w:lineRule="exact"/>
              <w:rPr>
                <w:rFonts w:hint="default" w:eastAsia="仿宋_GB2312"/>
                <w:b w:val="0"/>
                <w:color w:val="000000"/>
                <w:sz w:val="21"/>
                <w:szCs w:val="21"/>
                <w:lang w:val="en-US" w:eastAsia="zh-CN"/>
              </w:rPr>
            </w:pPr>
            <w:r>
              <w:rPr>
                <w:rFonts w:hint="eastAsia" w:eastAsia="仿宋_GB2312"/>
                <w:b w:val="0"/>
                <w:color w:val="000000"/>
                <w:sz w:val="21"/>
                <w:szCs w:val="21"/>
                <w:lang w:val="en-US" w:eastAsia="zh-CN"/>
              </w:rPr>
              <w:t>1</w:t>
            </w:r>
            <w:r>
              <w:rPr>
                <w:rFonts w:hint="eastAsia"/>
                <w:b w:val="0"/>
                <w:color w:val="000000"/>
                <w:sz w:val="21"/>
                <w:szCs w:val="21"/>
                <w:lang w:val="en-US" w:eastAsia="zh-CN"/>
              </w:rPr>
              <w:t>3</w:t>
            </w:r>
          </w:p>
        </w:tc>
        <w:tc>
          <w:tcPr>
            <w:tcW w:w="3165" w:type="dxa"/>
            <w:vMerge w:val="restart"/>
            <w:noWrap w:val="0"/>
            <w:vAlign w:val="center"/>
          </w:tcPr>
          <w:p>
            <w:pPr>
              <w:pStyle w:val="2"/>
              <w:adjustRightInd w:val="0"/>
              <w:snapToGrid w:val="0"/>
              <w:spacing w:line="280" w:lineRule="exact"/>
              <w:ind w:right="-73" w:rightChars="-35"/>
              <w:jc w:val="left"/>
              <w:rPr>
                <w:rFonts w:eastAsia="仿宋_GB2312"/>
                <w:b w:val="0"/>
                <w:color w:val="000000"/>
                <w:sz w:val="21"/>
                <w:szCs w:val="21"/>
              </w:rPr>
            </w:pPr>
            <w:r>
              <w:rPr>
                <w:rFonts w:hint="eastAsia" w:eastAsia="仿宋_GB2312"/>
                <w:b w:val="0"/>
                <w:color w:val="000000"/>
                <w:sz w:val="21"/>
                <w:szCs w:val="21"/>
                <w:lang w:val="en-US" w:eastAsia="zh-CN"/>
              </w:rPr>
              <w:t>依法依规使用劳务派遣工（8分）</w:t>
            </w: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hint="eastAsia" w:eastAsia="仿宋_GB2312"/>
                <w:b w:val="0"/>
                <w:color w:val="000000"/>
                <w:sz w:val="21"/>
                <w:szCs w:val="21"/>
                <w:lang w:val="en-US" w:eastAsia="zh-CN"/>
              </w:rPr>
              <w:t>劳务派遣工均与派遣公司签订合法合规的劳动合同。</w:t>
            </w:r>
            <w:r>
              <w:rPr>
                <w:rFonts w:eastAsia="仿宋_GB2312"/>
                <w:b w:val="0"/>
                <w:color w:val="000000"/>
                <w:sz w:val="21"/>
                <w:szCs w:val="21"/>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ind w:right="-73" w:rightChars="-35"/>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hint="eastAsia" w:eastAsia="仿宋_GB2312"/>
                <w:b w:val="0"/>
                <w:color w:val="000000"/>
                <w:sz w:val="21"/>
                <w:szCs w:val="21"/>
                <w:lang w:val="en-US" w:eastAsia="zh-CN"/>
              </w:rPr>
            </w:pPr>
            <w:r>
              <w:rPr>
                <w:rFonts w:hint="eastAsia" w:eastAsia="仿宋_GB2312"/>
                <w:b w:val="0"/>
                <w:color w:val="000000"/>
                <w:sz w:val="21"/>
                <w:szCs w:val="21"/>
                <w:lang w:val="en-US" w:eastAsia="zh-CN"/>
              </w:rPr>
              <w:t>劳务派遣工与本公司直接签订劳动合同的员工同工同酬。</w:t>
            </w:r>
            <w:r>
              <w:rPr>
                <w:rFonts w:eastAsia="仿宋_GB2312"/>
                <w:b w:val="0"/>
                <w:color w:val="000000"/>
                <w:sz w:val="21"/>
                <w:szCs w:val="21"/>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ind w:right="-73" w:rightChars="-35"/>
              <w:jc w:val="left"/>
              <w:rPr>
                <w:rFonts w:eastAsia="仿宋_GB2312"/>
                <w:b w:val="0"/>
                <w:color w:val="000000"/>
                <w:sz w:val="21"/>
                <w:szCs w:val="21"/>
              </w:rPr>
            </w:pPr>
          </w:p>
        </w:tc>
        <w:tc>
          <w:tcPr>
            <w:tcW w:w="17357" w:type="dxa"/>
            <w:noWrap w:val="0"/>
            <w:vAlign w:val="center"/>
          </w:tcPr>
          <w:p>
            <w:pPr>
              <w:pStyle w:val="2"/>
              <w:adjustRightInd w:val="0"/>
              <w:snapToGrid w:val="0"/>
              <w:spacing w:line="280" w:lineRule="exact"/>
              <w:jc w:val="both"/>
              <w:rPr>
                <w:rFonts w:hint="default" w:eastAsia="仿宋_GB2312"/>
                <w:b w:val="0"/>
                <w:color w:val="000000"/>
                <w:sz w:val="21"/>
                <w:szCs w:val="21"/>
                <w:lang w:val="en-US"/>
              </w:rPr>
            </w:pPr>
            <w:r>
              <w:rPr>
                <w:rFonts w:hint="eastAsia" w:eastAsia="仿宋_GB2312"/>
                <w:b w:val="0"/>
                <w:color w:val="000000"/>
                <w:sz w:val="21"/>
                <w:szCs w:val="21"/>
                <w:lang w:val="en-US" w:eastAsia="zh-CN"/>
              </w:rPr>
              <w:t>劳务派遣用工比例未超10%。</w:t>
            </w:r>
            <w:r>
              <w:rPr>
                <w:rFonts w:eastAsia="仿宋_GB2312"/>
                <w:b w:val="0"/>
                <w:color w:val="000000"/>
                <w:sz w:val="21"/>
                <w:szCs w:val="21"/>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65" w:type="dxa"/>
            <w:vMerge w:val="continue"/>
            <w:noWrap w:val="0"/>
            <w:vAlign w:val="center"/>
          </w:tcPr>
          <w:p>
            <w:pPr>
              <w:pStyle w:val="2"/>
              <w:adjustRightInd w:val="0"/>
              <w:snapToGrid w:val="0"/>
              <w:spacing w:line="280" w:lineRule="exact"/>
              <w:rPr>
                <w:rFonts w:eastAsia="仿宋_GB2312"/>
                <w:b w:val="0"/>
                <w:color w:val="000000"/>
                <w:sz w:val="21"/>
                <w:szCs w:val="21"/>
              </w:rPr>
            </w:pPr>
          </w:p>
        </w:tc>
        <w:tc>
          <w:tcPr>
            <w:tcW w:w="3165" w:type="dxa"/>
            <w:vMerge w:val="continue"/>
            <w:noWrap w:val="0"/>
            <w:vAlign w:val="center"/>
          </w:tcPr>
          <w:p>
            <w:pPr>
              <w:pStyle w:val="2"/>
              <w:adjustRightInd w:val="0"/>
              <w:snapToGrid w:val="0"/>
              <w:spacing w:line="280" w:lineRule="exact"/>
              <w:jc w:val="both"/>
              <w:rPr>
                <w:rFonts w:eastAsia="仿宋_GB2312"/>
                <w:color w:val="000000"/>
                <w:sz w:val="21"/>
                <w:szCs w:val="21"/>
              </w:rPr>
            </w:pPr>
          </w:p>
        </w:tc>
        <w:tc>
          <w:tcPr>
            <w:tcW w:w="17357" w:type="dxa"/>
            <w:noWrap w:val="0"/>
            <w:vAlign w:val="center"/>
          </w:tcPr>
          <w:p>
            <w:pPr>
              <w:pStyle w:val="2"/>
              <w:adjustRightInd w:val="0"/>
              <w:snapToGrid w:val="0"/>
              <w:spacing w:line="280" w:lineRule="exact"/>
              <w:jc w:val="both"/>
              <w:rPr>
                <w:rFonts w:eastAsia="仿宋_GB2312"/>
                <w:b w:val="0"/>
                <w:color w:val="000000"/>
                <w:sz w:val="21"/>
                <w:szCs w:val="21"/>
              </w:rPr>
            </w:pPr>
            <w:r>
              <w:rPr>
                <w:rFonts w:eastAsia="仿宋_GB2312"/>
                <w:b w:val="0"/>
                <w:color w:val="000000"/>
                <w:sz w:val="21"/>
                <w:szCs w:val="21"/>
              </w:rPr>
              <w:t>企业</w:t>
            </w:r>
            <w:r>
              <w:rPr>
                <w:rFonts w:hint="eastAsia" w:eastAsia="仿宋_GB2312"/>
                <w:b w:val="0"/>
                <w:color w:val="000000"/>
                <w:sz w:val="21"/>
                <w:szCs w:val="21"/>
                <w:lang w:eastAsia="zh-CN"/>
              </w:rPr>
              <w:t>对</w:t>
            </w:r>
            <w:r>
              <w:rPr>
                <w:rFonts w:eastAsia="仿宋_GB2312"/>
                <w:b w:val="0"/>
                <w:color w:val="000000"/>
                <w:sz w:val="21"/>
                <w:szCs w:val="21"/>
              </w:rPr>
              <w:t>在岗劳务派遣员工进行工作岗位所必需的培训。（2分）</w:t>
            </w:r>
          </w:p>
        </w:tc>
      </w:tr>
    </w:tbl>
    <w:p>
      <w:pPr>
        <w:numPr>
          <w:ilvl w:val="0"/>
          <w:numId w:val="0"/>
        </w:numPr>
        <w:ind w:left="420" w:leftChars="0"/>
        <w:jc w:val="both"/>
        <w:rPr>
          <w:rFonts w:hint="eastAsia" w:ascii="楷体" w:hAnsi="楷体" w:eastAsia="楷体" w:cs="楷体"/>
          <w:sz w:val="32"/>
          <w:szCs w:val="32"/>
          <w:lang w:val="en-US" w:eastAsia="zh-CN"/>
        </w:rPr>
        <w:sectPr>
          <w:pgSz w:w="23811" w:h="16838" w:orient="landscape"/>
          <w:pgMar w:top="983" w:right="1440" w:bottom="1155" w:left="1440" w:header="851" w:footer="992" w:gutter="0"/>
          <w:pgNumType w:fmt="numberInDash"/>
          <w:cols w:space="0" w:num="1"/>
          <w:rtlGutter w:val="0"/>
          <w:docGrid w:type="lines" w:linePitch="315"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附件1-2</w:t>
      </w:r>
    </w:p>
    <w:p>
      <w:pPr>
        <w:numPr>
          <w:ilvl w:val="0"/>
          <w:numId w:val="0"/>
        </w:numPr>
        <w:ind w:left="420" w:leftChars="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惠州市劳动关系和谐企业AAAA级评分表（100分）</w:t>
      </w:r>
    </w:p>
    <w:tbl>
      <w:tblPr>
        <w:tblStyle w:val="5"/>
        <w:tblW w:w="210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444"/>
        <w:gridCol w:w="16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noWrap w:val="0"/>
            <w:vAlign w:val="center"/>
          </w:tcPr>
          <w:p>
            <w:pPr>
              <w:pStyle w:val="2"/>
              <w:adjustRightInd w:val="0"/>
              <w:snapToGrid w:val="0"/>
              <w:spacing w:line="380" w:lineRule="exact"/>
              <w:jc w:val="center"/>
              <w:rPr>
                <w:rFonts w:hint="eastAsia" w:ascii="黑体" w:hAnsi="黑体" w:eastAsia="黑体" w:cs="黑体"/>
                <w:color w:val="000000"/>
                <w:spacing w:val="-12"/>
                <w:sz w:val="28"/>
                <w:szCs w:val="28"/>
              </w:rPr>
            </w:pPr>
            <w:r>
              <w:rPr>
                <w:rFonts w:hint="eastAsia" w:ascii="黑体" w:hAnsi="黑体" w:eastAsia="黑体" w:cs="黑体"/>
                <w:color w:val="000000"/>
                <w:spacing w:val="-12"/>
                <w:sz w:val="28"/>
                <w:szCs w:val="28"/>
              </w:rPr>
              <w:t>项目</w:t>
            </w:r>
          </w:p>
          <w:p>
            <w:pPr>
              <w:pStyle w:val="2"/>
              <w:adjustRightInd w:val="0"/>
              <w:snapToGrid w:val="0"/>
              <w:spacing w:line="380" w:lineRule="exact"/>
              <w:jc w:val="center"/>
              <w:rPr>
                <w:rFonts w:hint="eastAsia" w:ascii="黑体" w:hAnsi="黑体" w:eastAsia="黑体" w:cs="黑体"/>
                <w:color w:val="000000"/>
                <w:spacing w:val="-12"/>
                <w:sz w:val="28"/>
                <w:szCs w:val="28"/>
              </w:rPr>
            </w:pPr>
            <w:r>
              <w:rPr>
                <w:rFonts w:hint="eastAsia" w:ascii="黑体" w:hAnsi="黑体" w:eastAsia="黑体" w:cs="黑体"/>
                <w:color w:val="000000"/>
                <w:spacing w:val="-12"/>
                <w:sz w:val="28"/>
                <w:szCs w:val="28"/>
              </w:rPr>
              <w:t>序号</w:t>
            </w:r>
          </w:p>
        </w:tc>
        <w:tc>
          <w:tcPr>
            <w:tcW w:w="3444" w:type="dxa"/>
            <w:noWrap w:val="0"/>
            <w:vAlign w:val="center"/>
          </w:tcPr>
          <w:p>
            <w:pPr>
              <w:pStyle w:val="2"/>
              <w:adjustRightInd w:val="0"/>
              <w:snapToGrid w:val="0"/>
              <w:spacing w:line="380" w:lineRule="exact"/>
              <w:jc w:val="center"/>
              <w:rPr>
                <w:rFonts w:hint="eastAsia" w:ascii="黑体" w:hAnsi="黑体" w:eastAsia="黑体" w:cs="黑体"/>
                <w:color w:val="000000"/>
                <w:sz w:val="28"/>
                <w:szCs w:val="28"/>
              </w:rPr>
            </w:pPr>
            <w:r>
              <w:rPr>
                <w:rFonts w:hint="eastAsia" w:ascii="黑体" w:hAnsi="黑体" w:eastAsia="黑体" w:cs="黑体"/>
                <w:color w:val="000000"/>
                <w:sz w:val="28"/>
                <w:szCs w:val="28"/>
              </w:rPr>
              <w:t>项目及分值</w:t>
            </w:r>
          </w:p>
        </w:tc>
        <w:tc>
          <w:tcPr>
            <w:tcW w:w="16728" w:type="dxa"/>
            <w:noWrap w:val="0"/>
            <w:vAlign w:val="center"/>
          </w:tcPr>
          <w:p>
            <w:pPr>
              <w:pStyle w:val="2"/>
              <w:adjustRightInd w:val="0"/>
              <w:snapToGrid w:val="0"/>
              <w:spacing w:line="380" w:lineRule="exact"/>
              <w:jc w:val="center"/>
              <w:rPr>
                <w:rFonts w:hint="eastAsia" w:ascii="黑体" w:hAnsi="黑体" w:eastAsia="黑体" w:cs="黑体"/>
                <w:color w:val="000000"/>
                <w:sz w:val="28"/>
                <w:szCs w:val="28"/>
                <w:lang w:eastAsia="zh-CN"/>
              </w:rPr>
            </w:pPr>
            <w:r>
              <w:rPr>
                <w:rFonts w:hint="eastAsia" w:ascii="黑体" w:hAnsi="黑体" w:eastAsia="黑体" w:cs="黑体"/>
                <w:color w:val="000000"/>
                <w:sz w:val="28"/>
                <w:szCs w:val="28"/>
              </w:rPr>
              <w:t>子项及</w:t>
            </w:r>
            <w:r>
              <w:rPr>
                <w:rFonts w:hint="eastAsia" w:ascii="黑体" w:hAnsi="黑体" w:eastAsia="黑体" w:cs="黑体"/>
                <w:color w:val="000000"/>
                <w:sz w:val="28"/>
                <w:szCs w:val="28"/>
                <w:lang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noWrap w:val="0"/>
            <w:vAlign w:val="center"/>
          </w:tcPr>
          <w:p>
            <w:pPr>
              <w:pStyle w:val="2"/>
              <w:adjustRightInd w:val="0"/>
              <w:snapToGrid w:val="0"/>
              <w:spacing w:line="380" w:lineRule="exact"/>
              <w:jc w:val="center"/>
              <w:rPr>
                <w:rFonts w:hint="eastAsia" w:eastAsia="仿宋_GB2312"/>
                <w:b w:val="0"/>
                <w:color w:val="000000"/>
                <w:sz w:val="24"/>
                <w:lang w:val="en-US" w:eastAsia="zh-CN"/>
              </w:rPr>
            </w:pPr>
            <w:r>
              <w:rPr>
                <w:rFonts w:hint="eastAsia" w:eastAsia="仿宋_GB2312"/>
                <w:b w:val="0"/>
                <w:color w:val="000000"/>
                <w:sz w:val="24"/>
                <w:lang w:val="en-US" w:eastAsia="zh-CN"/>
              </w:rPr>
              <w:t>1</w:t>
            </w:r>
          </w:p>
        </w:tc>
        <w:tc>
          <w:tcPr>
            <w:tcW w:w="3444" w:type="dxa"/>
            <w:noWrap w:val="0"/>
            <w:vAlign w:val="center"/>
          </w:tcPr>
          <w:p>
            <w:pPr>
              <w:pStyle w:val="2"/>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固定从业人员500人以上（含），年营业收入1.5亿元以上（含）（10分）</w:t>
            </w: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达不到该标准的记0分（获得国家高新技术企业资质的企业不受固定从业人员500人以上限制）。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46" w:type="dxa"/>
            <w:vMerge w:val="restart"/>
            <w:noWrap w:val="0"/>
            <w:vAlign w:val="center"/>
          </w:tcPr>
          <w:p>
            <w:pPr>
              <w:pStyle w:val="2"/>
              <w:adjustRightInd w:val="0"/>
              <w:snapToGrid w:val="0"/>
              <w:spacing w:line="380" w:lineRule="exact"/>
              <w:jc w:val="center"/>
              <w:rPr>
                <w:rFonts w:hint="eastAsia" w:eastAsia="仿宋_GB2312"/>
                <w:b w:val="0"/>
                <w:color w:val="000000"/>
                <w:sz w:val="24"/>
                <w:lang w:val="en-US" w:eastAsia="zh-CN"/>
              </w:rPr>
            </w:pPr>
            <w:r>
              <w:rPr>
                <w:rFonts w:hint="eastAsia" w:eastAsia="仿宋_GB2312"/>
                <w:b w:val="0"/>
                <w:color w:val="000000"/>
                <w:sz w:val="24"/>
                <w:lang w:val="en-US" w:eastAsia="zh-CN"/>
              </w:rPr>
              <w:t>2</w:t>
            </w:r>
          </w:p>
        </w:tc>
        <w:tc>
          <w:tcPr>
            <w:tcW w:w="3444" w:type="dxa"/>
            <w:vMerge w:val="restart"/>
            <w:noWrap w:val="0"/>
            <w:vAlign w:val="center"/>
          </w:tcPr>
          <w:p>
            <w:pPr>
              <w:pStyle w:val="2"/>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人力资源部门工作人员比较熟悉劳动法律法规（8分）</w:t>
            </w:r>
          </w:p>
        </w:tc>
        <w:tc>
          <w:tcPr>
            <w:tcW w:w="16728" w:type="dxa"/>
            <w:noWrap w:val="0"/>
            <w:vAlign w:val="center"/>
          </w:tcPr>
          <w:p>
            <w:pPr>
              <w:pStyle w:val="2"/>
              <w:adjustRightInd w:val="0"/>
              <w:snapToGrid w:val="0"/>
              <w:spacing w:line="280" w:lineRule="exact"/>
              <w:jc w:val="both"/>
              <w:rPr>
                <w:rFonts w:eastAsia="仿宋_GB2312" w:asciiTheme="minorHAnsi" w:hAnsiTheme="minorHAnsi" w:cstheme="minorBidi"/>
                <w:b w:val="0"/>
                <w:bCs/>
                <w:color w:val="000000"/>
                <w:kern w:val="2"/>
                <w:sz w:val="21"/>
                <w:szCs w:val="21"/>
                <w:lang w:val="en-US" w:eastAsia="zh-CN" w:bidi="ar-SA"/>
              </w:rPr>
            </w:pPr>
            <w:r>
              <w:rPr>
                <w:rFonts w:hint="eastAsia" w:eastAsia="仿宋_GB2312"/>
                <w:b w:val="0"/>
                <w:color w:val="000000"/>
                <w:sz w:val="21"/>
                <w:szCs w:val="21"/>
                <w:lang w:val="en-US" w:eastAsia="zh-CN"/>
              </w:rPr>
              <w:t>企业每年定期组织人力资源部门工作人员参加劳动法律法规培训或集中进行劳动法律法规相关知识学习。（2分）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280" w:lineRule="exact"/>
              <w:jc w:val="both"/>
              <w:rPr>
                <w:rFonts w:hint="default" w:eastAsia="仿宋_GB2312" w:asciiTheme="minorHAnsi" w:hAnsiTheme="minorHAnsi" w:cstheme="minorBidi"/>
                <w:b w:val="0"/>
                <w:bCs/>
                <w:color w:val="000000"/>
                <w:kern w:val="2"/>
                <w:sz w:val="21"/>
                <w:szCs w:val="21"/>
                <w:lang w:val="en-US" w:eastAsia="zh-CN" w:bidi="ar-SA"/>
              </w:rPr>
            </w:pPr>
            <w:r>
              <w:rPr>
                <w:rFonts w:hint="eastAsia" w:eastAsia="仿宋_GB2312"/>
                <w:b w:val="0"/>
                <w:color w:val="000000"/>
                <w:sz w:val="21"/>
                <w:szCs w:val="21"/>
                <w:lang w:val="en-US" w:eastAsia="zh-CN"/>
              </w:rPr>
              <w:t>人力资源部门工作人员</w:t>
            </w:r>
            <w:r>
              <w:rPr>
                <w:rFonts w:hint="eastAsia" w:eastAsia="仿宋_GB2312"/>
                <w:b w:val="0"/>
                <w:color w:val="000000"/>
                <w:sz w:val="24"/>
                <w:lang w:val="en-US" w:eastAsia="zh-CN"/>
              </w:rPr>
              <w:t>比较熟悉</w:t>
            </w:r>
            <w:r>
              <w:rPr>
                <w:rFonts w:hint="eastAsia" w:eastAsia="仿宋_GB2312"/>
                <w:b w:val="0"/>
                <w:color w:val="000000"/>
                <w:sz w:val="21"/>
                <w:szCs w:val="21"/>
                <w:lang w:val="en-US" w:eastAsia="zh-CN"/>
              </w:rPr>
              <w:t>劳动法律法规。（6分）（现场抽考5人，平均分在80分以下得0分，在80-90分区间得4分，在90分以上得6分）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846" w:type="dxa"/>
            <w:vMerge w:val="restart"/>
            <w:noWrap w:val="0"/>
            <w:vAlign w:val="center"/>
          </w:tcPr>
          <w:p>
            <w:pPr>
              <w:pStyle w:val="2"/>
              <w:adjustRightInd w:val="0"/>
              <w:snapToGrid w:val="0"/>
              <w:spacing w:line="380" w:lineRule="exact"/>
              <w:jc w:val="center"/>
              <w:rPr>
                <w:rFonts w:hint="eastAsia" w:eastAsia="仿宋_GB2312"/>
                <w:b w:val="0"/>
                <w:color w:val="000000"/>
                <w:sz w:val="24"/>
                <w:lang w:eastAsia="zh-CN"/>
              </w:rPr>
            </w:pPr>
            <w:r>
              <w:rPr>
                <w:rFonts w:hint="eastAsia" w:eastAsia="仿宋_GB2312"/>
                <w:b w:val="0"/>
                <w:color w:val="000000"/>
                <w:sz w:val="24"/>
                <w:lang w:val="en-US" w:eastAsia="zh-CN"/>
              </w:rPr>
              <w:t>3</w:t>
            </w:r>
          </w:p>
        </w:tc>
        <w:tc>
          <w:tcPr>
            <w:tcW w:w="3444" w:type="dxa"/>
            <w:vMerge w:val="restart"/>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企业以人为本，关爱员工，改善员工工作生活条件（</w:t>
            </w:r>
            <w:r>
              <w:rPr>
                <w:rFonts w:hint="eastAsia" w:eastAsia="仿宋_GB2312"/>
                <w:b w:val="0"/>
                <w:color w:val="000000"/>
                <w:sz w:val="24"/>
                <w:lang w:val="en-US" w:eastAsia="zh-CN"/>
              </w:rPr>
              <w:t>16</w:t>
            </w:r>
            <w:r>
              <w:rPr>
                <w:rFonts w:eastAsia="仿宋_GB2312"/>
                <w:b w:val="0"/>
                <w:color w:val="000000"/>
                <w:sz w:val="24"/>
              </w:rPr>
              <w:t>分）</w:t>
            </w: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企业致力改善员工工作场所环境，定期投入固定资金对企业环境治理设备进行更新改造。（</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color w:val="000000"/>
                <w:sz w:val="24"/>
              </w:rPr>
            </w:pPr>
            <w:r>
              <w:rPr>
                <w:rFonts w:eastAsia="仿宋_GB2312"/>
                <w:b w:val="0"/>
                <w:color w:val="000000"/>
                <w:sz w:val="24"/>
              </w:rPr>
              <w:t>企业结合生产特点和保护员工健康需要，配置和完善通风、降温、防尘、防毒、降噪等设施，为员工提供舒适、整洁、空气流通的工作环境。（</w:t>
            </w:r>
            <w:r>
              <w:rPr>
                <w:rFonts w:hint="eastAsia" w:eastAsia="仿宋_GB2312"/>
                <w:b w:val="0"/>
                <w:color w:val="000000"/>
                <w:sz w:val="24"/>
                <w:lang w:val="en-US" w:eastAsia="zh-CN"/>
              </w:rPr>
              <w:t>3</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color w:val="000000"/>
                <w:sz w:val="24"/>
              </w:rPr>
            </w:pPr>
            <w:r>
              <w:rPr>
                <w:rFonts w:eastAsia="仿宋_GB2312"/>
                <w:b w:val="0"/>
                <w:color w:val="000000"/>
                <w:sz w:val="24"/>
              </w:rPr>
              <w:t>企业在工作区域内设有专供员工休息的场所以及配备卫生保健设施，并至少每年一次为女员工、未成年工和特殊工种员工进行健康检查。（</w:t>
            </w:r>
            <w:r>
              <w:rPr>
                <w:rFonts w:hint="eastAsia" w:eastAsia="仿宋_GB2312"/>
                <w:b w:val="0"/>
                <w:color w:val="000000"/>
                <w:sz w:val="24"/>
                <w:lang w:val="en-US" w:eastAsia="zh-CN"/>
              </w:rPr>
              <w:t>3</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企业合理设置生产或工作流程，科学定岗定额。（</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企业关心员工饮食情况，提高员工饮食质量；建有食堂的企业，还应加强餐饮管理，定期开展餐饮卫生检查。（2分）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企业根据自身条件和规模，通过自建或租用等方式，为员工提供集体宿舍，配置必要的生活设施，改善员工居住条件。对自行安排居住场所的员工，企业给予补助。（2分）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企业根据用工情况，为员工建立多种文娱体育设施，并组织员工开展各种文娱体育活动。（</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46" w:type="dxa"/>
            <w:vMerge w:val="restart"/>
            <w:noWrap w:val="0"/>
            <w:vAlign w:val="center"/>
          </w:tcPr>
          <w:p>
            <w:pPr>
              <w:pStyle w:val="2"/>
              <w:adjustRightInd w:val="0"/>
              <w:snapToGrid w:val="0"/>
              <w:spacing w:line="380" w:lineRule="exact"/>
              <w:jc w:val="center"/>
              <w:rPr>
                <w:rFonts w:hint="eastAsia" w:eastAsia="仿宋_GB2312"/>
                <w:b w:val="0"/>
                <w:color w:val="000000"/>
                <w:sz w:val="24"/>
                <w:lang w:eastAsia="zh-CN"/>
              </w:rPr>
            </w:pPr>
            <w:r>
              <w:rPr>
                <w:rFonts w:hint="eastAsia" w:eastAsia="仿宋_GB2312"/>
                <w:b w:val="0"/>
                <w:color w:val="000000"/>
                <w:sz w:val="24"/>
                <w:lang w:val="en-US" w:eastAsia="zh-CN"/>
              </w:rPr>
              <w:t>4</w:t>
            </w:r>
          </w:p>
        </w:tc>
        <w:tc>
          <w:tcPr>
            <w:tcW w:w="3444" w:type="dxa"/>
            <w:vMerge w:val="restart"/>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企业为员工提供不同层次的培训学习，不断提高员工综合素质（1</w:t>
            </w:r>
            <w:r>
              <w:rPr>
                <w:rFonts w:hint="eastAsia" w:eastAsia="仿宋_GB2312"/>
                <w:b w:val="0"/>
                <w:color w:val="000000"/>
                <w:sz w:val="24"/>
                <w:lang w:val="en-US" w:eastAsia="zh-CN"/>
              </w:rPr>
              <w:t>2</w:t>
            </w:r>
            <w:r>
              <w:rPr>
                <w:rFonts w:eastAsia="仿宋_GB2312"/>
                <w:b w:val="0"/>
                <w:color w:val="000000"/>
                <w:sz w:val="24"/>
              </w:rPr>
              <w:t>分）</w:t>
            </w: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企业依法按员工工资总额的1.5%提取职工教育经费，企业职代会或工会组织参与确定企业职工教育经费的使用范围和使用方式，确保7</w:t>
            </w:r>
            <w:r>
              <w:rPr>
                <w:rFonts w:hint="eastAsia" w:eastAsia="仿宋_GB2312"/>
                <w:b w:val="0"/>
                <w:color w:val="000000"/>
                <w:sz w:val="24"/>
                <w:lang w:val="en-US" w:eastAsia="zh-CN"/>
              </w:rPr>
              <w:t>5</w:t>
            </w:r>
            <w:r>
              <w:rPr>
                <w:rFonts w:eastAsia="仿宋_GB2312"/>
                <w:b w:val="0"/>
                <w:color w:val="000000"/>
                <w:sz w:val="24"/>
              </w:rPr>
              <w:t>%以上的企业职工教育经费向一线员工倾斜，切实保障员工培训权利。（</w:t>
            </w:r>
            <w:r>
              <w:rPr>
                <w:rFonts w:hint="eastAsia" w:eastAsia="仿宋_GB2312"/>
                <w:b w:val="0"/>
                <w:color w:val="000000"/>
                <w:sz w:val="24"/>
                <w:lang w:val="en-US" w:eastAsia="zh-CN"/>
              </w:rPr>
              <w:t>4</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企业有计划、有步骤地对员工进行入职教育、上岗转岗、技能提升、思想道德等教育培训工作，对员工进行不同层次的培训或鼓励员工参加各种继续教育课程和院校培训。（</w:t>
            </w:r>
            <w:r>
              <w:rPr>
                <w:rFonts w:hint="eastAsia" w:eastAsia="仿宋_GB2312"/>
                <w:b w:val="0"/>
                <w:color w:val="000000"/>
                <w:sz w:val="24"/>
                <w:lang w:val="en-US" w:eastAsia="zh-CN"/>
              </w:rPr>
              <w:t>4</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hint="eastAsia" w:eastAsia="仿宋_GB2312"/>
                <w:b w:val="0"/>
                <w:color w:val="000000"/>
                <w:sz w:val="24"/>
                <w:lang w:eastAsia="zh-CN"/>
              </w:rPr>
            </w:pPr>
            <w:r>
              <w:rPr>
                <w:rFonts w:eastAsia="仿宋_GB2312"/>
                <w:b w:val="0"/>
                <w:color w:val="000000"/>
                <w:sz w:val="24"/>
              </w:rPr>
              <w:t>企业严格执行就业准入制度，国家规定持《职业资格证书》的工种持证率达到100%。（</w:t>
            </w:r>
            <w:r>
              <w:rPr>
                <w:rFonts w:hint="eastAsia" w:eastAsia="仿宋_GB2312"/>
                <w:b w:val="0"/>
                <w:color w:val="000000"/>
                <w:sz w:val="24"/>
                <w:lang w:val="en-US" w:eastAsia="zh-CN"/>
              </w:rPr>
              <w:t>4</w:t>
            </w:r>
            <w:r>
              <w:rPr>
                <w:rFonts w:eastAsia="仿宋_GB2312"/>
                <w:b w:val="0"/>
                <w:color w:val="000000"/>
                <w:sz w:val="24"/>
              </w:rPr>
              <w:t>分）</w:t>
            </w:r>
            <w:r>
              <w:rPr>
                <w:rFonts w:hint="eastAsia" w:eastAsia="仿宋_GB2312"/>
                <w:b w:val="0"/>
                <w:color w:val="000000"/>
                <w:sz w:val="24"/>
                <w:lang w:eastAsia="zh-CN"/>
              </w:rPr>
              <w:t>（达不到</w:t>
            </w:r>
            <w:r>
              <w:rPr>
                <w:rFonts w:hint="eastAsia" w:eastAsia="仿宋_GB2312"/>
                <w:b w:val="0"/>
                <w:color w:val="000000"/>
                <w:sz w:val="24"/>
                <w:lang w:val="en-US" w:eastAsia="zh-CN"/>
              </w:rPr>
              <w:t>100%的记0分</w:t>
            </w:r>
            <w:r>
              <w:rPr>
                <w:rFonts w:hint="eastAsia" w:eastAsia="仿宋_GB2312"/>
                <w:b w:val="0"/>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846" w:type="dxa"/>
            <w:vMerge w:val="restart"/>
            <w:noWrap w:val="0"/>
            <w:vAlign w:val="center"/>
          </w:tcPr>
          <w:p>
            <w:pPr>
              <w:pStyle w:val="2"/>
              <w:adjustRightInd w:val="0"/>
              <w:snapToGrid w:val="0"/>
              <w:spacing w:line="380" w:lineRule="exact"/>
              <w:jc w:val="center"/>
              <w:rPr>
                <w:rFonts w:hint="eastAsia" w:eastAsia="仿宋_GB2312"/>
                <w:b w:val="0"/>
                <w:color w:val="000000"/>
                <w:sz w:val="24"/>
                <w:lang w:eastAsia="zh-CN"/>
              </w:rPr>
            </w:pPr>
            <w:r>
              <w:rPr>
                <w:rFonts w:hint="eastAsia" w:eastAsia="仿宋_GB2312"/>
                <w:b w:val="0"/>
                <w:color w:val="000000"/>
                <w:sz w:val="24"/>
                <w:lang w:val="en-US" w:eastAsia="zh-CN"/>
              </w:rPr>
              <w:t>5</w:t>
            </w:r>
          </w:p>
        </w:tc>
        <w:tc>
          <w:tcPr>
            <w:tcW w:w="3444" w:type="dxa"/>
            <w:vMerge w:val="restart"/>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建立健全工资集体协商机制。（</w:t>
            </w:r>
            <w:r>
              <w:rPr>
                <w:rFonts w:hint="eastAsia"/>
                <w:b w:val="0"/>
                <w:color w:val="000000"/>
                <w:sz w:val="24"/>
                <w:lang w:val="en-US" w:eastAsia="zh-CN"/>
              </w:rPr>
              <w:t>7</w:t>
            </w:r>
            <w:r>
              <w:rPr>
                <w:rFonts w:eastAsia="仿宋_GB2312"/>
                <w:b w:val="0"/>
                <w:color w:val="000000"/>
                <w:sz w:val="24"/>
              </w:rPr>
              <w:t>分）</w:t>
            </w: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企业工资集体协商制度健全，按时按需积极开展工资集体协商，协商中涉及有员工工资调整、调整依据等具体内容。（</w:t>
            </w:r>
            <w:r>
              <w:rPr>
                <w:rFonts w:hint="eastAsia"/>
                <w:b w:val="0"/>
                <w:color w:val="000000"/>
                <w:sz w:val="24"/>
                <w:lang w:val="en-US" w:eastAsia="zh-CN"/>
              </w:rPr>
              <w:t>4</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企业通过工会、职代会或公布栏等渠道，定期向员工公开企业的工资分配情况、支付情况以及工资集体协议履行情况等，接受员工的民主监督。（</w:t>
            </w:r>
            <w:r>
              <w:rPr>
                <w:rFonts w:hint="eastAsia"/>
                <w:b w:val="0"/>
                <w:color w:val="000000"/>
                <w:sz w:val="24"/>
                <w:lang w:val="en-US" w:eastAsia="zh-CN"/>
              </w:rPr>
              <w:t>3</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46" w:type="dxa"/>
            <w:noWrap w:val="0"/>
            <w:vAlign w:val="center"/>
          </w:tcPr>
          <w:p>
            <w:pPr>
              <w:pStyle w:val="2"/>
              <w:adjustRightInd w:val="0"/>
              <w:snapToGrid w:val="0"/>
              <w:spacing w:line="380" w:lineRule="exact"/>
              <w:jc w:val="center"/>
              <w:rPr>
                <w:rFonts w:hint="eastAsia" w:eastAsia="仿宋_GB2312"/>
                <w:b w:val="0"/>
                <w:color w:val="000000"/>
                <w:sz w:val="24"/>
                <w:lang w:val="en-US" w:eastAsia="zh-CN"/>
              </w:rPr>
            </w:pPr>
            <w:r>
              <w:rPr>
                <w:rFonts w:hint="eastAsia" w:eastAsia="仿宋_GB2312"/>
                <w:b w:val="0"/>
                <w:color w:val="000000"/>
                <w:sz w:val="24"/>
                <w:lang w:val="en-US" w:eastAsia="zh-CN"/>
              </w:rPr>
              <w:t>6</w:t>
            </w:r>
          </w:p>
        </w:tc>
        <w:tc>
          <w:tcPr>
            <w:tcW w:w="3444" w:type="dxa"/>
            <w:noWrap w:val="0"/>
            <w:vAlign w:val="center"/>
          </w:tcPr>
          <w:p>
            <w:pPr>
              <w:pStyle w:val="2"/>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有不少于5名经过专业机构培训的劳动关系协调员（10分）</w:t>
            </w: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hint="eastAsia" w:eastAsia="仿宋_GB2312"/>
                <w:b w:val="0"/>
                <w:color w:val="000000"/>
                <w:spacing w:val="-4"/>
                <w:sz w:val="21"/>
                <w:szCs w:val="21"/>
                <w:lang w:val="en-US" w:eastAsia="zh-CN"/>
              </w:rPr>
              <w:t>有不少于5名经过专业机构培训的劳动关系协调员。（10分）（少于5名记0分，5名记6分，6名记7分，7名记8分，8名记9分，9名及以上记10分）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46" w:type="dxa"/>
            <w:vMerge w:val="restart"/>
            <w:noWrap w:val="0"/>
            <w:vAlign w:val="center"/>
          </w:tcPr>
          <w:p>
            <w:pPr>
              <w:pStyle w:val="2"/>
              <w:adjustRightInd w:val="0"/>
              <w:snapToGrid w:val="0"/>
              <w:spacing w:line="380" w:lineRule="exact"/>
              <w:jc w:val="center"/>
              <w:rPr>
                <w:rFonts w:hint="eastAsia" w:eastAsia="仿宋_GB2312"/>
                <w:b w:val="0"/>
                <w:color w:val="000000"/>
                <w:sz w:val="24"/>
                <w:lang w:eastAsia="zh-CN"/>
              </w:rPr>
            </w:pPr>
            <w:r>
              <w:rPr>
                <w:rFonts w:hint="eastAsia" w:eastAsia="仿宋_GB2312"/>
                <w:b w:val="0"/>
                <w:color w:val="000000"/>
                <w:sz w:val="24"/>
                <w:lang w:val="en-US" w:eastAsia="zh-CN"/>
              </w:rPr>
              <w:t>7</w:t>
            </w:r>
          </w:p>
        </w:tc>
        <w:tc>
          <w:tcPr>
            <w:tcW w:w="3444" w:type="dxa"/>
            <w:vMerge w:val="restart"/>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工会作用发挥明显，企业劳动争议调解组织充分发挥作用（</w:t>
            </w:r>
            <w:r>
              <w:rPr>
                <w:rFonts w:hint="eastAsia"/>
                <w:b w:val="0"/>
                <w:color w:val="000000"/>
                <w:sz w:val="24"/>
                <w:lang w:val="en-US" w:eastAsia="zh-CN"/>
              </w:rPr>
              <w:t>20</w:t>
            </w:r>
            <w:r>
              <w:rPr>
                <w:rFonts w:eastAsia="仿宋_GB2312"/>
                <w:b w:val="0"/>
                <w:color w:val="000000"/>
                <w:sz w:val="24"/>
              </w:rPr>
              <w:t>分）</w:t>
            </w:r>
          </w:p>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hint="default" w:eastAsia="仿宋_GB2312"/>
                <w:b w:val="0"/>
                <w:color w:val="000000"/>
                <w:sz w:val="24"/>
                <w:lang w:val="en-US"/>
              </w:rPr>
            </w:pPr>
            <w:r>
              <w:rPr>
                <w:rFonts w:hint="eastAsia" w:eastAsia="仿宋_GB2312"/>
                <w:b w:val="0"/>
                <w:color w:val="000000"/>
                <w:sz w:val="21"/>
                <w:szCs w:val="21"/>
                <w:lang w:val="en-US" w:eastAsia="zh-CN"/>
              </w:rPr>
              <w:t>工会组织职工（含劳务派遣工）入会率达不到</w:t>
            </w:r>
            <w:r>
              <w:rPr>
                <w:rFonts w:hint="eastAsia"/>
                <w:b w:val="0"/>
                <w:color w:val="000000"/>
                <w:sz w:val="21"/>
                <w:szCs w:val="21"/>
                <w:lang w:val="en-US" w:eastAsia="zh-CN"/>
              </w:rPr>
              <w:t>90</w:t>
            </w:r>
            <w:r>
              <w:rPr>
                <w:rFonts w:hint="eastAsia" w:eastAsia="仿宋_GB2312"/>
                <w:b w:val="0"/>
                <w:color w:val="000000"/>
                <w:sz w:val="21"/>
                <w:szCs w:val="21"/>
                <w:lang w:val="en-US" w:eastAsia="zh-CN"/>
              </w:rPr>
              <w:t>%</w:t>
            </w:r>
            <w:r>
              <w:rPr>
                <w:rFonts w:hint="eastAsia"/>
                <w:b w:val="0"/>
                <w:color w:val="000000"/>
                <w:sz w:val="21"/>
                <w:szCs w:val="21"/>
                <w:lang w:val="en-US" w:eastAsia="zh-CN"/>
              </w:rPr>
              <w:t>以上（含90%）</w:t>
            </w:r>
            <w:r>
              <w:rPr>
                <w:rFonts w:hint="eastAsia" w:eastAsia="仿宋_GB2312"/>
                <w:b w:val="0"/>
                <w:color w:val="000000"/>
                <w:sz w:val="21"/>
                <w:szCs w:val="21"/>
                <w:lang w:val="en-US" w:eastAsia="zh-CN"/>
              </w:rPr>
              <w:t>记</w:t>
            </w:r>
            <w:r>
              <w:rPr>
                <w:rFonts w:hint="eastAsia"/>
                <w:b w:val="0"/>
                <w:color w:val="000000"/>
                <w:sz w:val="21"/>
                <w:szCs w:val="21"/>
                <w:lang w:val="en-US" w:eastAsia="zh-CN"/>
              </w:rPr>
              <w:t>2</w:t>
            </w:r>
            <w:r>
              <w:rPr>
                <w:rFonts w:hint="eastAsia" w:eastAsia="仿宋_GB2312"/>
                <w:b w:val="0"/>
                <w:color w:val="000000"/>
                <w:sz w:val="21"/>
                <w:szCs w:val="21"/>
                <w:lang w:val="en-US" w:eastAsia="zh-CN"/>
              </w:rPr>
              <w:t>分</w:t>
            </w:r>
            <w:r>
              <w:rPr>
                <w:rFonts w:hint="eastAsia"/>
                <w:b w:val="0"/>
                <w:color w:val="000000"/>
                <w:sz w:val="21"/>
                <w:szCs w:val="21"/>
                <w:lang w:val="en-US" w:eastAsia="zh-CN"/>
              </w:rPr>
              <w:t>，达85%以上（含85%）不到90%的记1分，85%以下的记0分。</w:t>
            </w:r>
            <w:r>
              <w:rPr>
                <w:rFonts w:eastAsia="仿宋_GB2312"/>
                <w:b w:val="0"/>
                <w:color w:val="000000"/>
                <w:sz w:val="24"/>
              </w:rPr>
              <w:t>（</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46" w:type="dxa"/>
            <w:vMerge w:val="continue"/>
            <w:noWrap w:val="0"/>
            <w:vAlign w:val="center"/>
          </w:tcPr>
          <w:p>
            <w:pPr>
              <w:pStyle w:val="2"/>
              <w:adjustRightInd w:val="0"/>
              <w:snapToGrid w:val="0"/>
              <w:spacing w:line="380" w:lineRule="exact"/>
              <w:jc w:val="center"/>
              <w:rPr>
                <w:rFonts w:hint="eastAsia" w:eastAsia="仿宋_GB2312"/>
                <w:b w:val="0"/>
                <w:color w:val="000000"/>
                <w:sz w:val="24"/>
                <w:lang w:eastAsia="zh-CN"/>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工会职能健全，充分了解员工诉求，并向企业反映，切实维护员工合法权益。（</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工会积极开展劳动竞赛及其他有益职工身心健康等各项活动，企业对工会组织的各项活动从经费、时间、场地等方面给予保证和支持。（</w:t>
            </w:r>
            <w:r>
              <w:rPr>
                <w:rFonts w:hint="eastAsia" w:eastAsia="仿宋_GB2312"/>
                <w:b w:val="0"/>
                <w:color w:val="000000"/>
                <w:sz w:val="24"/>
                <w:lang w:val="en-US" w:eastAsia="zh-CN"/>
              </w:rPr>
              <w:t>3</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完善工会主席和工会委员民主选举制度，工会会员广泛参与和监督基层工会活动。（2分）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企业内部建立起员工互助互济制度；建立了“员工关怀基金”，重点补助因社会公共突发事件、重大病症等陷入困难的员工。（</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企业工会建成</w:t>
            </w:r>
            <w:r>
              <w:rPr>
                <w:rFonts w:hint="eastAsia"/>
                <w:b w:val="0"/>
                <w:color w:val="000000"/>
                <w:sz w:val="24"/>
                <w:lang w:eastAsia="zh-CN"/>
              </w:rPr>
              <w:t>并被上级工会认定</w:t>
            </w:r>
            <w:r>
              <w:rPr>
                <w:rFonts w:eastAsia="仿宋_GB2312"/>
                <w:b w:val="0"/>
                <w:color w:val="000000"/>
                <w:sz w:val="24"/>
              </w:rPr>
              <w:t>为“职工之家”。（</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企业建立了完善的劳动关系风险防范机制、预警机制，能够及时化解劳资矛盾。（3分）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企业劳动争议调解组织对发生在本企业的劳动争议调解率达到60%以上。（3分）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hint="eastAsia" w:eastAsia="仿宋_GB2312"/>
                <w:b w:val="0"/>
                <w:color w:val="000000"/>
                <w:sz w:val="24"/>
              </w:rPr>
              <w:t>企业工会应到惠州工会基层组织建设管理系统进行实名认证及工会会员实名认证。（1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846" w:type="dxa"/>
            <w:vMerge w:val="restart"/>
            <w:noWrap w:val="0"/>
            <w:vAlign w:val="center"/>
          </w:tcPr>
          <w:p>
            <w:pPr>
              <w:pStyle w:val="2"/>
              <w:adjustRightInd w:val="0"/>
              <w:snapToGrid w:val="0"/>
              <w:spacing w:line="380" w:lineRule="exact"/>
              <w:jc w:val="center"/>
              <w:rPr>
                <w:rFonts w:hint="eastAsia" w:eastAsia="仿宋_GB2312"/>
                <w:b w:val="0"/>
                <w:color w:val="000000"/>
                <w:sz w:val="24"/>
                <w:lang w:eastAsia="zh-CN"/>
              </w:rPr>
            </w:pPr>
            <w:r>
              <w:rPr>
                <w:rFonts w:hint="eastAsia" w:eastAsia="仿宋_GB2312"/>
                <w:b w:val="0"/>
                <w:color w:val="000000"/>
                <w:sz w:val="24"/>
                <w:lang w:val="en-US" w:eastAsia="zh-CN"/>
              </w:rPr>
              <w:t>8</w:t>
            </w:r>
          </w:p>
        </w:tc>
        <w:tc>
          <w:tcPr>
            <w:tcW w:w="3444" w:type="dxa"/>
            <w:vMerge w:val="restart"/>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企业与员工沟通渠道畅通，机制健全（1</w:t>
            </w:r>
            <w:r>
              <w:rPr>
                <w:rFonts w:hint="eastAsia" w:eastAsia="仿宋_GB2312"/>
                <w:b w:val="0"/>
                <w:color w:val="000000"/>
                <w:sz w:val="24"/>
                <w:lang w:val="en-US" w:eastAsia="zh-CN"/>
              </w:rPr>
              <w:t>2</w:t>
            </w:r>
            <w:r>
              <w:rPr>
                <w:rFonts w:eastAsia="仿宋_GB2312"/>
                <w:b w:val="0"/>
                <w:color w:val="000000"/>
                <w:sz w:val="24"/>
              </w:rPr>
              <w:t>分）</w:t>
            </w:r>
          </w:p>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企业以职代会或者其他方式实行厂务公开。（</w:t>
            </w:r>
            <w:r>
              <w:rPr>
                <w:rFonts w:hint="eastAsia" w:eastAsia="仿宋_GB2312"/>
                <w:b w:val="0"/>
                <w:color w:val="000000"/>
                <w:sz w:val="24"/>
                <w:lang w:val="en-US" w:eastAsia="zh-CN"/>
              </w:rPr>
              <w:t>4</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企业设立了多渠道、多形式的沟通体系（如意见箱、网站，建立了“员工论坛”、员工建议系统等），确保员工能够及时向企业表达各种利益诉求。（</w:t>
            </w:r>
            <w:r>
              <w:rPr>
                <w:rFonts w:hint="eastAsia" w:eastAsia="仿宋_GB2312"/>
                <w:b w:val="0"/>
                <w:color w:val="000000"/>
                <w:sz w:val="24"/>
                <w:lang w:val="en-US" w:eastAsia="zh-CN"/>
              </w:rPr>
              <w:t>4</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b w:val="0"/>
                <w:color w:val="000000"/>
                <w:sz w:val="24"/>
              </w:rPr>
            </w:pPr>
            <w:r>
              <w:rPr>
                <w:rFonts w:eastAsia="仿宋_GB2312"/>
                <w:b w:val="0"/>
                <w:color w:val="000000"/>
                <w:sz w:val="24"/>
              </w:rPr>
              <w:t>企业建立了及时处理员工反馈意见的机制，包括处理员工意见的制度和措施。（</w:t>
            </w:r>
            <w:r>
              <w:rPr>
                <w:rFonts w:hint="eastAsia" w:eastAsia="仿宋_GB2312"/>
                <w:b w:val="0"/>
                <w:color w:val="000000"/>
                <w:sz w:val="24"/>
                <w:lang w:val="en-US" w:eastAsia="zh-CN"/>
              </w:rPr>
              <w:t>4</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6" w:type="dxa"/>
            <w:vMerge w:val="restart"/>
            <w:noWrap w:val="0"/>
            <w:vAlign w:val="center"/>
          </w:tcPr>
          <w:p>
            <w:pPr>
              <w:pStyle w:val="2"/>
              <w:adjustRightInd w:val="0"/>
              <w:snapToGrid w:val="0"/>
              <w:spacing w:line="380" w:lineRule="exact"/>
              <w:jc w:val="center"/>
              <w:rPr>
                <w:rFonts w:hint="eastAsia" w:eastAsia="仿宋_GB2312"/>
                <w:b w:val="0"/>
                <w:color w:val="000000"/>
                <w:sz w:val="24"/>
                <w:lang w:eastAsia="zh-CN"/>
              </w:rPr>
            </w:pPr>
            <w:r>
              <w:rPr>
                <w:rFonts w:hint="eastAsia" w:eastAsia="仿宋_GB2312"/>
                <w:b w:val="0"/>
                <w:color w:val="000000"/>
                <w:sz w:val="24"/>
                <w:lang w:val="en-US" w:eastAsia="zh-CN"/>
              </w:rPr>
              <w:t>9</w:t>
            </w:r>
          </w:p>
        </w:tc>
        <w:tc>
          <w:tcPr>
            <w:tcW w:w="3444" w:type="dxa"/>
            <w:vMerge w:val="restart"/>
            <w:noWrap w:val="0"/>
            <w:vAlign w:val="center"/>
          </w:tcPr>
          <w:p>
            <w:pPr>
              <w:pStyle w:val="2"/>
              <w:adjustRightInd w:val="0"/>
              <w:snapToGrid w:val="0"/>
              <w:spacing w:line="380" w:lineRule="exact"/>
              <w:jc w:val="both"/>
              <w:rPr>
                <w:rFonts w:eastAsia="仿宋_GB2312"/>
                <w:b w:val="0"/>
                <w:color w:val="000000"/>
                <w:sz w:val="24"/>
              </w:rPr>
            </w:pPr>
            <w:r>
              <w:rPr>
                <w:rFonts w:hint="eastAsia" w:eastAsia="仿宋_GB2312"/>
                <w:b w:val="0"/>
                <w:color w:val="000000"/>
                <w:sz w:val="24"/>
                <w:lang w:val="en-US" w:eastAsia="zh-CN"/>
              </w:rPr>
              <w:t>积极解决特殊人群的就业问题（10分）</w:t>
            </w:r>
          </w:p>
        </w:tc>
        <w:tc>
          <w:tcPr>
            <w:tcW w:w="16728" w:type="dxa"/>
            <w:noWrap w:val="0"/>
            <w:vAlign w:val="center"/>
          </w:tcPr>
          <w:p>
            <w:pPr>
              <w:pStyle w:val="2"/>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企业积极参与就业与再就业工作，按政府规定安置就业困难人员（包括 “零就业家庭”人员、</w:t>
            </w:r>
            <w:r>
              <w:rPr>
                <w:rFonts w:hint="eastAsia"/>
                <w:b w:val="0"/>
                <w:color w:val="000000"/>
                <w:sz w:val="24"/>
                <w:lang w:eastAsia="zh-CN"/>
              </w:rPr>
              <w:t>建档立卡贫困</w:t>
            </w:r>
            <w:r>
              <w:rPr>
                <w:rFonts w:eastAsia="仿宋_GB2312"/>
                <w:b w:val="0"/>
                <w:color w:val="000000"/>
                <w:sz w:val="24"/>
              </w:rPr>
              <w:t>人员、“农转居”失业人员等）。（</w:t>
            </w:r>
            <w:r>
              <w:rPr>
                <w:rFonts w:hint="eastAsia" w:eastAsia="仿宋_GB2312"/>
                <w:b w:val="0"/>
                <w:color w:val="000000"/>
                <w:sz w:val="24"/>
                <w:lang w:val="en-US" w:eastAsia="zh-CN"/>
              </w:rPr>
              <w:t>4</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企业按照政府规定依法缴纳残疾人就业保障金或安置残疾人就业比例超过国家要求。（3分）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846" w:type="dxa"/>
            <w:vMerge w:val="continue"/>
            <w:noWrap w:val="0"/>
            <w:vAlign w:val="center"/>
          </w:tcPr>
          <w:p>
            <w:pPr>
              <w:pStyle w:val="2"/>
              <w:adjustRightInd w:val="0"/>
              <w:snapToGrid w:val="0"/>
              <w:spacing w:line="380" w:lineRule="exact"/>
              <w:jc w:val="center"/>
              <w:rPr>
                <w:rFonts w:eastAsia="仿宋_GB2312"/>
                <w:b w:val="0"/>
                <w:color w:val="000000"/>
                <w:sz w:val="24"/>
              </w:rPr>
            </w:pPr>
          </w:p>
        </w:tc>
        <w:tc>
          <w:tcPr>
            <w:tcW w:w="3444" w:type="dxa"/>
            <w:vMerge w:val="continue"/>
            <w:noWrap w:val="0"/>
            <w:vAlign w:val="center"/>
          </w:tcPr>
          <w:p>
            <w:pPr>
              <w:pStyle w:val="2"/>
              <w:adjustRightInd w:val="0"/>
              <w:snapToGrid w:val="0"/>
              <w:spacing w:line="380" w:lineRule="exact"/>
              <w:jc w:val="both"/>
              <w:rPr>
                <w:rFonts w:eastAsia="仿宋_GB2312"/>
                <w:b w:val="0"/>
                <w:color w:val="000000"/>
                <w:sz w:val="24"/>
              </w:rPr>
            </w:pPr>
          </w:p>
        </w:tc>
        <w:tc>
          <w:tcPr>
            <w:tcW w:w="16728" w:type="dxa"/>
            <w:noWrap w:val="0"/>
            <w:vAlign w:val="center"/>
          </w:tcPr>
          <w:p>
            <w:pPr>
              <w:pStyle w:val="2"/>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企业超额完成政策规定人员的接收安置任务。（</w:t>
            </w:r>
            <w:r>
              <w:rPr>
                <w:rFonts w:hint="eastAsia" w:eastAsia="仿宋_GB2312"/>
                <w:b w:val="0"/>
                <w:color w:val="000000"/>
                <w:sz w:val="24"/>
                <w:lang w:val="en-US" w:eastAsia="zh-CN"/>
              </w:rPr>
              <w:t>3</w:t>
            </w:r>
            <w:r>
              <w:rPr>
                <w:rFonts w:eastAsia="仿宋_GB2312"/>
                <w:b w:val="0"/>
                <w:color w:val="000000"/>
                <w:sz w:val="24"/>
              </w:rPr>
              <w:t>分）</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附件1-3</w:t>
      </w:r>
    </w:p>
    <w:p>
      <w:pPr>
        <w:numPr>
          <w:ilvl w:val="0"/>
          <w:numId w:val="0"/>
        </w:numPr>
        <w:ind w:left="420" w:leftChars="0"/>
        <w:jc w:val="center"/>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惠州市劳动关系和谐企业AAAAA级评分表（100分）</w:t>
      </w:r>
    </w:p>
    <w:tbl>
      <w:tblPr>
        <w:tblStyle w:val="5"/>
        <w:tblW w:w="212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4013"/>
        <w:gridCol w:w="16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7" w:type="dxa"/>
            <w:noWrap w:val="0"/>
            <w:vAlign w:val="center"/>
          </w:tcPr>
          <w:p>
            <w:pPr>
              <w:pStyle w:val="2"/>
              <w:adjustRightInd w:val="0"/>
              <w:snapToGrid w:val="0"/>
              <w:spacing w:line="360" w:lineRule="exact"/>
              <w:jc w:val="center"/>
              <w:rPr>
                <w:rFonts w:hint="eastAsia" w:ascii="黑体" w:hAnsi="黑体" w:eastAsia="黑体" w:cs="黑体"/>
                <w:color w:val="000000"/>
                <w:spacing w:val="-12"/>
                <w:sz w:val="24"/>
              </w:rPr>
            </w:pPr>
            <w:r>
              <w:rPr>
                <w:rFonts w:hint="eastAsia" w:ascii="黑体" w:hAnsi="黑体" w:eastAsia="黑体" w:cs="黑体"/>
                <w:color w:val="000000"/>
                <w:spacing w:val="-12"/>
                <w:sz w:val="24"/>
              </w:rPr>
              <w:t>项目序号</w:t>
            </w:r>
          </w:p>
        </w:tc>
        <w:tc>
          <w:tcPr>
            <w:tcW w:w="4013" w:type="dxa"/>
            <w:noWrap w:val="0"/>
            <w:vAlign w:val="center"/>
          </w:tcPr>
          <w:p>
            <w:pPr>
              <w:pStyle w:val="2"/>
              <w:adjustRightInd w:val="0"/>
              <w:snapToGrid w:val="0"/>
              <w:spacing w:line="360" w:lineRule="exact"/>
              <w:jc w:val="center"/>
              <w:rPr>
                <w:rFonts w:hint="eastAsia" w:ascii="黑体" w:hAnsi="黑体" w:eastAsia="黑体" w:cs="黑体"/>
                <w:color w:val="000000"/>
                <w:sz w:val="24"/>
              </w:rPr>
            </w:pPr>
            <w:r>
              <w:rPr>
                <w:rFonts w:hint="eastAsia" w:ascii="黑体" w:hAnsi="黑体" w:eastAsia="黑体" w:cs="黑体"/>
                <w:color w:val="000000"/>
                <w:sz w:val="24"/>
              </w:rPr>
              <w:t>项目及分值</w:t>
            </w:r>
          </w:p>
        </w:tc>
        <w:tc>
          <w:tcPr>
            <w:tcW w:w="16590" w:type="dxa"/>
            <w:noWrap w:val="0"/>
            <w:vAlign w:val="center"/>
          </w:tcPr>
          <w:p>
            <w:pPr>
              <w:pStyle w:val="2"/>
              <w:adjustRightInd w:val="0"/>
              <w:snapToGrid w:val="0"/>
              <w:spacing w:line="360" w:lineRule="exact"/>
              <w:jc w:val="center"/>
              <w:rPr>
                <w:rFonts w:hint="eastAsia" w:ascii="黑体" w:hAnsi="黑体" w:eastAsia="黑体" w:cs="黑体"/>
                <w:color w:val="000000"/>
                <w:sz w:val="24"/>
              </w:rPr>
            </w:pPr>
            <w:r>
              <w:rPr>
                <w:rFonts w:hint="eastAsia" w:ascii="黑体" w:hAnsi="黑体" w:eastAsia="黑体" w:cs="黑体"/>
                <w:color w:val="000000"/>
                <w:sz w:val="28"/>
                <w:szCs w:val="28"/>
              </w:rPr>
              <w:t>子项及</w:t>
            </w:r>
            <w:r>
              <w:rPr>
                <w:rFonts w:hint="eastAsia" w:ascii="黑体" w:hAnsi="黑体" w:eastAsia="黑体" w:cs="黑体"/>
                <w:color w:val="000000"/>
                <w:sz w:val="28"/>
                <w:szCs w:val="28"/>
                <w:lang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7" w:type="dxa"/>
            <w:noWrap w:val="0"/>
            <w:vAlign w:val="center"/>
          </w:tcPr>
          <w:p>
            <w:pPr>
              <w:pStyle w:val="2"/>
              <w:adjustRightInd w:val="0"/>
              <w:snapToGrid w:val="0"/>
              <w:spacing w:line="380" w:lineRule="exact"/>
              <w:jc w:val="center"/>
              <w:rPr>
                <w:rFonts w:hint="eastAsia" w:eastAsia="仿宋_GB2312" w:asciiTheme="minorHAnsi" w:hAnsiTheme="minorHAnsi" w:cstheme="minorBidi"/>
                <w:b w:val="0"/>
                <w:bCs/>
                <w:color w:val="000000"/>
                <w:kern w:val="2"/>
                <w:sz w:val="24"/>
                <w:szCs w:val="24"/>
                <w:lang w:val="en-US" w:eastAsia="zh-CN" w:bidi="ar-SA"/>
              </w:rPr>
            </w:pPr>
            <w:r>
              <w:rPr>
                <w:rFonts w:hint="eastAsia" w:eastAsia="仿宋_GB2312"/>
                <w:b w:val="0"/>
                <w:color w:val="000000"/>
                <w:sz w:val="24"/>
                <w:lang w:val="en-US" w:eastAsia="zh-CN"/>
              </w:rPr>
              <w:t>1</w:t>
            </w:r>
          </w:p>
        </w:tc>
        <w:tc>
          <w:tcPr>
            <w:tcW w:w="4013" w:type="dxa"/>
            <w:noWrap w:val="0"/>
            <w:vAlign w:val="center"/>
          </w:tcPr>
          <w:p>
            <w:pPr>
              <w:pStyle w:val="2"/>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hint="eastAsia" w:eastAsia="仿宋_GB2312"/>
                <w:b w:val="0"/>
                <w:color w:val="000000"/>
                <w:sz w:val="24"/>
                <w:lang w:val="en-US" w:eastAsia="zh-CN"/>
              </w:rPr>
              <w:t>固定从业人员1500人以上（含），年营业收入5亿元以上（含）（8分）</w:t>
            </w:r>
          </w:p>
        </w:tc>
        <w:tc>
          <w:tcPr>
            <w:tcW w:w="16590" w:type="dxa"/>
            <w:noWrap w:val="0"/>
            <w:vAlign w:val="center"/>
          </w:tcPr>
          <w:p>
            <w:pPr>
              <w:pStyle w:val="2"/>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hint="eastAsia" w:eastAsia="仿宋_GB2312"/>
                <w:b w:val="0"/>
                <w:color w:val="000000"/>
                <w:sz w:val="24"/>
                <w:lang w:val="en-US" w:eastAsia="zh-CN"/>
              </w:rPr>
              <w:t>达不到该标准的记0分（获得国家高新技术企业资质的企业不受固定从业人员</w:t>
            </w:r>
            <w:r>
              <w:rPr>
                <w:rFonts w:hint="eastAsia"/>
                <w:b w:val="0"/>
                <w:color w:val="000000"/>
                <w:sz w:val="24"/>
                <w:lang w:val="en-US" w:eastAsia="zh-CN"/>
              </w:rPr>
              <w:t>1</w:t>
            </w:r>
            <w:r>
              <w:rPr>
                <w:rFonts w:hint="eastAsia" w:eastAsia="仿宋_GB2312"/>
                <w:b w:val="0"/>
                <w:color w:val="000000"/>
                <w:sz w:val="24"/>
                <w:lang w:val="en-US" w:eastAsia="zh-CN"/>
              </w:rPr>
              <w:t>500人以上限制）。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7" w:type="dxa"/>
            <w:vMerge w:val="restart"/>
            <w:noWrap w:val="0"/>
            <w:vAlign w:val="center"/>
          </w:tcPr>
          <w:p>
            <w:pPr>
              <w:pStyle w:val="2"/>
              <w:adjustRightInd w:val="0"/>
              <w:snapToGrid w:val="0"/>
              <w:spacing w:line="360" w:lineRule="exact"/>
              <w:jc w:val="center"/>
              <w:rPr>
                <w:rFonts w:hint="eastAsia" w:eastAsia="仿宋_GB2312"/>
                <w:b w:val="0"/>
                <w:bCs w:val="0"/>
                <w:color w:val="000000"/>
                <w:sz w:val="24"/>
                <w:lang w:val="en-US" w:eastAsia="zh-CN"/>
              </w:rPr>
            </w:pPr>
            <w:r>
              <w:rPr>
                <w:rFonts w:hint="eastAsia" w:eastAsia="仿宋_GB2312"/>
                <w:b w:val="0"/>
                <w:bCs w:val="0"/>
                <w:color w:val="000000"/>
                <w:sz w:val="24"/>
                <w:lang w:val="en-US" w:eastAsia="zh-CN"/>
              </w:rPr>
              <w:t>2</w:t>
            </w:r>
          </w:p>
        </w:tc>
        <w:tc>
          <w:tcPr>
            <w:tcW w:w="4013" w:type="dxa"/>
            <w:vMerge w:val="restart"/>
            <w:noWrap w:val="0"/>
            <w:vAlign w:val="center"/>
          </w:tcPr>
          <w:p>
            <w:pPr>
              <w:pStyle w:val="2"/>
              <w:adjustRightInd w:val="0"/>
              <w:snapToGrid w:val="0"/>
              <w:spacing w:line="380" w:lineRule="exact"/>
              <w:jc w:val="both"/>
              <w:rPr>
                <w:rFonts w:eastAsia="仿宋_GB2312" w:asciiTheme="minorHAnsi" w:hAnsiTheme="minorHAnsi" w:cstheme="minorBidi"/>
                <w:b w:val="0"/>
                <w:bCs/>
                <w:color w:val="000000"/>
                <w:kern w:val="2"/>
                <w:sz w:val="24"/>
                <w:szCs w:val="24"/>
                <w:lang w:val="en-US" w:eastAsia="zh-CN" w:bidi="ar-SA"/>
              </w:rPr>
            </w:pPr>
            <w:r>
              <w:rPr>
                <w:rFonts w:hint="eastAsia" w:eastAsia="仿宋_GB2312"/>
                <w:b w:val="0"/>
                <w:color w:val="000000"/>
                <w:sz w:val="24"/>
                <w:lang w:val="en-US" w:eastAsia="zh-CN"/>
              </w:rPr>
              <w:t>人力资源部门工作人员熟练掌握劳动法律法规（9分）</w:t>
            </w:r>
          </w:p>
        </w:tc>
        <w:tc>
          <w:tcPr>
            <w:tcW w:w="16590" w:type="dxa"/>
            <w:noWrap w:val="0"/>
            <w:vAlign w:val="center"/>
          </w:tcPr>
          <w:p>
            <w:pPr>
              <w:pStyle w:val="2"/>
              <w:adjustRightInd w:val="0"/>
              <w:snapToGrid w:val="0"/>
              <w:spacing w:line="280" w:lineRule="exact"/>
              <w:jc w:val="both"/>
              <w:rPr>
                <w:rFonts w:eastAsia="仿宋_GB2312" w:asciiTheme="minorHAnsi" w:hAnsiTheme="minorHAnsi" w:cstheme="minorBidi"/>
                <w:b w:val="0"/>
                <w:bCs/>
                <w:color w:val="000000"/>
                <w:kern w:val="2"/>
                <w:sz w:val="21"/>
                <w:szCs w:val="21"/>
                <w:lang w:val="en-US" w:eastAsia="zh-CN" w:bidi="ar-SA"/>
              </w:rPr>
            </w:pPr>
            <w:r>
              <w:rPr>
                <w:rFonts w:hint="eastAsia" w:eastAsia="仿宋_GB2312"/>
                <w:b w:val="0"/>
                <w:color w:val="000000"/>
                <w:sz w:val="21"/>
                <w:szCs w:val="21"/>
                <w:lang w:val="en-US" w:eastAsia="zh-CN"/>
              </w:rPr>
              <w:t>企业每年定期组织人力资源部门工作人员参加劳动法律法规培训和集中进行劳动法律法规学习。（3分）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280" w:lineRule="exact"/>
              <w:jc w:val="both"/>
              <w:rPr>
                <w:rFonts w:hint="default" w:eastAsia="仿宋_GB2312" w:asciiTheme="minorHAnsi" w:hAnsiTheme="minorHAnsi" w:cstheme="minorBidi"/>
                <w:b w:val="0"/>
                <w:bCs/>
                <w:color w:val="000000"/>
                <w:kern w:val="2"/>
                <w:sz w:val="21"/>
                <w:szCs w:val="21"/>
                <w:lang w:val="en-US" w:eastAsia="zh-CN" w:bidi="ar-SA"/>
              </w:rPr>
            </w:pPr>
            <w:r>
              <w:rPr>
                <w:rFonts w:hint="eastAsia" w:eastAsia="仿宋_GB2312"/>
                <w:b w:val="0"/>
                <w:color w:val="000000"/>
                <w:sz w:val="21"/>
                <w:szCs w:val="21"/>
                <w:lang w:val="en-US" w:eastAsia="zh-CN"/>
              </w:rPr>
              <w:t>人力资源部门工作人员熟练掌握劳动法律法规。（6分）（现场抽考7人，平均分在85分以下得0分，在85-95分区间得4分，在95分以上得6分）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7" w:type="dxa"/>
            <w:vMerge w:val="restart"/>
            <w:noWrap w:val="0"/>
            <w:vAlign w:val="center"/>
          </w:tcPr>
          <w:p>
            <w:pPr>
              <w:pStyle w:val="2"/>
              <w:adjustRightInd w:val="0"/>
              <w:snapToGrid w:val="0"/>
              <w:spacing w:line="360" w:lineRule="exact"/>
              <w:jc w:val="center"/>
              <w:rPr>
                <w:rFonts w:hint="eastAsia" w:eastAsia="仿宋_GB2312"/>
                <w:b w:val="0"/>
                <w:bCs w:val="0"/>
                <w:color w:val="000000"/>
                <w:sz w:val="24"/>
                <w:lang w:val="en-US" w:eastAsia="zh-CN"/>
              </w:rPr>
            </w:pPr>
            <w:r>
              <w:rPr>
                <w:rFonts w:hint="eastAsia" w:eastAsia="仿宋_GB2312"/>
                <w:b w:val="0"/>
                <w:bCs w:val="0"/>
                <w:color w:val="000000"/>
                <w:sz w:val="24"/>
                <w:lang w:val="en-US" w:eastAsia="zh-CN"/>
              </w:rPr>
              <w:t>3</w:t>
            </w:r>
          </w:p>
        </w:tc>
        <w:tc>
          <w:tcPr>
            <w:tcW w:w="4013" w:type="dxa"/>
            <w:vMerge w:val="restart"/>
            <w:noWrap w:val="0"/>
            <w:vAlign w:val="center"/>
          </w:tcPr>
          <w:p>
            <w:pPr>
              <w:pStyle w:val="2"/>
              <w:adjustRightInd w:val="0"/>
              <w:snapToGrid w:val="0"/>
              <w:spacing w:line="360" w:lineRule="exact"/>
              <w:jc w:val="both"/>
              <w:rPr>
                <w:rFonts w:eastAsia="仿宋_GB2312"/>
                <w:b w:val="0"/>
                <w:bCs w:val="0"/>
                <w:color w:val="000000"/>
                <w:sz w:val="24"/>
              </w:rPr>
            </w:pPr>
            <w:r>
              <w:rPr>
                <w:rFonts w:hint="eastAsia" w:eastAsia="仿宋_GB2312"/>
                <w:b w:val="0"/>
                <w:bCs w:val="0"/>
                <w:color w:val="000000"/>
                <w:sz w:val="24"/>
                <w:lang w:val="en-US" w:eastAsia="zh-CN"/>
              </w:rPr>
              <w:t>企业具有比较完备的员工教育培训和晋升、激励机制，为员工提供较好的发展平台（20分）</w:t>
            </w:r>
          </w:p>
        </w:tc>
        <w:tc>
          <w:tcPr>
            <w:tcW w:w="16590" w:type="dxa"/>
            <w:noWrap w:val="0"/>
            <w:vAlign w:val="center"/>
          </w:tcPr>
          <w:p>
            <w:pPr>
              <w:pStyle w:val="2"/>
              <w:adjustRightInd w:val="0"/>
              <w:snapToGrid w:val="0"/>
              <w:spacing w:line="360" w:lineRule="exact"/>
              <w:jc w:val="both"/>
              <w:rPr>
                <w:rFonts w:hint="eastAsia" w:eastAsia="宋体"/>
                <w:b w:val="0"/>
                <w:color w:val="000000"/>
                <w:sz w:val="24"/>
                <w:lang w:eastAsia="zh-CN"/>
              </w:rPr>
            </w:pPr>
            <w:r>
              <w:rPr>
                <w:rFonts w:hint="eastAsia" w:eastAsia="仿宋_GB2312"/>
                <w:b w:val="0"/>
                <w:color w:val="000000"/>
                <w:sz w:val="24"/>
                <w:lang w:eastAsia="zh-CN"/>
              </w:rPr>
              <w:t>企业</w:t>
            </w:r>
            <w:r>
              <w:rPr>
                <w:rFonts w:hint="eastAsia" w:eastAsia="仿宋_GB2312"/>
                <w:b w:val="0"/>
                <w:color w:val="000000"/>
                <w:sz w:val="24"/>
              </w:rPr>
              <w:t>建立完整</w:t>
            </w:r>
            <w:r>
              <w:rPr>
                <w:rFonts w:hint="eastAsia" w:eastAsia="仿宋_GB2312"/>
                <w:b w:val="0"/>
                <w:color w:val="000000"/>
                <w:sz w:val="24"/>
                <w:lang w:eastAsia="zh-CN"/>
              </w:rPr>
              <w:t>的</w:t>
            </w:r>
            <w:r>
              <w:rPr>
                <w:rFonts w:hint="eastAsia" w:eastAsia="仿宋_GB2312"/>
                <w:b w:val="0"/>
                <w:color w:val="000000"/>
                <w:sz w:val="24"/>
              </w:rPr>
              <w:t>用工台账</w:t>
            </w:r>
            <w:r>
              <w:rPr>
                <w:rFonts w:hint="eastAsia" w:eastAsia="仿宋_GB2312"/>
                <w:b w:val="0"/>
                <w:color w:val="000000"/>
                <w:sz w:val="24"/>
                <w:lang w:eastAsia="zh-CN"/>
              </w:rPr>
              <w:t>。（</w:t>
            </w:r>
            <w:r>
              <w:rPr>
                <w:rFonts w:hint="eastAsia" w:eastAsia="仿宋_GB2312"/>
                <w:b w:val="0"/>
                <w:color w:val="000000"/>
                <w:sz w:val="24"/>
                <w:lang w:val="en-US" w:eastAsia="zh-CN"/>
              </w:rPr>
              <w:t>2分</w:t>
            </w:r>
            <w:r>
              <w:rPr>
                <w:rFonts w:hint="eastAsia" w:eastAsia="仿宋_GB2312"/>
                <w:b w:val="0"/>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677" w:type="dxa"/>
            <w:vMerge w:val="continue"/>
            <w:noWrap w:val="0"/>
            <w:vAlign w:val="center"/>
          </w:tcPr>
          <w:p>
            <w:pPr>
              <w:pStyle w:val="2"/>
              <w:adjustRightInd w:val="0"/>
              <w:snapToGrid w:val="0"/>
              <w:spacing w:line="360" w:lineRule="exact"/>
              <w:jc w:val="center"/>
              <w:rPr>
                <w:rFonts w:hint="eastAsia" w:eastAsia="仿宋_GB2312"/>
                <w:b w:val="0"/>
                <w:bCs w:val="0"/>
                <w:color w:val="000000"/>
                <w:sz w:val="24"/>
                <w:lang w:val="en-US" w:eastAsia="zh-CN"/>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企业内部人才评价制度健全，有完善的人才选拔和培育机制，注重培养专业人才。（3分）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企业不断完善和创新激励方式，对企业技术改造、产品研发和质量管理等有贡献的员工，给予精神、物质奖励。（</w:t>
            </w:r>
            <w:r>
              <w:rPr>
                <w:rFonts w:hint="eastAsia" w:eastAsia="仿宋_GB2312"/>
                <w:b w:val="0"/>
                <w:color w:val="000000"/>
                <w:sz w:val="24"/>
                <w:lang w:val="en-US" w:eastAsia="zh-CN"/>
              </w:rPr>
              <w:t>3</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企业实行岗位分析和评估，设有竞争性薪酬制度。（</w:t>
            </w:r>
            <w:r>
              <w:rPr>
                <w:rFonts w:hint="eastAsia" w:eastAsia="仿宋_GB2312"/>
                <w:b w:val="0"/>
                <w:color w:val="000000"/>
                <w:sz w:val="24"/>
                <w:lang w:val="en-US" w:eastAsia="zh-CN"/>
              </w:rPr>
              <w:t>3</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企业根据员工个人特点、专业水平和研究能力为员工设计职业生涯规划，并制定一套相对应的职务等级体系和多渠道晋升体系。（</w:t>
            </w:r>
            <w:r>
              <w:rPr>
                <w:rFonts w:hint="eastAsia"/>
                <w:b w:val="0"/>
                <w:color w:val="000000"/>
                <w:sz w:val="24"/>
                <w:lang w:val="en-US" w:eastAsia="zh-CN"/>
              </w:rPr>
              <w:t>3</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企业依法按员工工资总额的2.5%提取职工教育经费，对员工进行不同层次的培训或无条件支持和鼓励员工参加各种继续教育课程和院校培训，切实保障员工培训权利。（</w:t>
            </w:r>
            <w:r>
              <w:rPr>
                <w:rFonts w:hint="eastAsia" w:eastAsia="仿宋_GB2312"/>
                <w:b w:val="0"/>
                <w:color w:val="000000"/>
                <w:sz w:val="24"/>
                <w:lang w:val="en-US" w:eastAsia="zh-CN"/>
              </w:rPr>
              <w:t>3</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企业为员工致力于企业技术创新、管理模式创新、研究工作等方面提供资金、文献资料、场所、人员等硬件、软件支持。（</w:t>
            </w:r>
            <w:r>
              <w:rPr>
                <w:rFonts w:hint="eastAsia"/>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eastAsia="仿宋_GB2312" w:asciiTheme="minorHAnsi" w:hAnsiTheme="minorHAnsi" w:cstheme="minorBidi"/>
                <w:b w:val="0"/>
                <w:bCs/>
                <w:color w:val="000000"/>
                <w:kern w:val="2"/>
                <w:sz w:val="24"/>
                <w:szCs w:val="24"/>
                <w:lang w:val="en-US" w:eastAsia="zh-CN" w:bidi="ar-SA"/>
              </w:rPr>
            </w:pPr>
            <w:r>
              <w:rPr>
                <w:rFonts w:eastAsia="仿宋_GB2312"/>
                <w:b w:val="0"/>
                <w:color w:val="000000"/>
                <w:sz w:val="24"/>
              </w:rPr>
              <w:t>建立科学的企业技能人才结构队伍。高级工以上高技能人才占企业技能劳动者的比例达到20%以上，并带动中、初级技能劳动者队伍的阶梯发展。（2分）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677" w:type="dxa"/>
            <w:vMerge w:val="restart"/>
            <w:noWrap w:val="0"/>
            <w:vAlign w:val="center"/>
          </w:tcPr>
          <w:p>
            <w:pPr>
              <w:pStyle w:val="2"/>
              <w:adjustRightInd w:val="0"/>
              <w:snapToGrid w:val="0"/>
              <w:spacing w:line="360" w:lineRule="exact"/>
              <w:jc w:val="center"/>
              <w:rPr>
                <w:rFonts w:hint="eastAsia" w:eastAsia="仿宋_GB2312"/>
                <w:b w:val="0"/>
                <w:bCs w:val="0"/>
                <w:color w:val="000000"/>
                <w:sz w:val="24"/>
                <w:lang w:val="en-US" w:eastAsia="zh-CN"/>
              </w:rPr>
            </w:pPr>
            <w:r>
              <w:rPr>
                <w:rFonts w:hint="eastAsia" w:eastAsia="仿宋_GB2312"/>
                <w:b w:val="0"/>
                <w:bCs w:val="0"/>
                <w:color w:val="000000"/>
                <w:sz w:val="24"/>
                <w:lang w:val="en-US" w:eastAsia="zh-CN"/>
              </w:rPr>
              <w:t>4</w:t>
            </w:r>
          </w:p>
        </w:tc>
        <w:tc>
          <w:tcPr>
            <w:tcW w:w="4013" w:type="dxa"/>
            <w:vMerge w:val="restart"/>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r>
              <w:rPr>
                <w:rFonts w:hint="eastAsia" w:eastAsia="仿宋_GB2312"/>
                <w:b w:val="0"/>
                <w:bCs w:val="0"/>
                <w:color w:val="000000"/>
                <w:sz w:val="24"/>
                <w:lang w:val="en-US" w:eastAsia="zh-CN"/>
              </w:rPr>
              <w:t>企业工资正常增长机制与我市经济发展水平相适应，具有优化的福利制度（15分）</w:t>
            </w:r>
          </w:p>
        </w:tc>
        <w:tc>
          <w:tcPr>
            <w:tcW w:w="16590" w:type="dxa"/>
            <w:noWrap w:val="0"/>
            <w:vAlign w:val="center"/>
          </w:tcPr>
          <w:p>
            <w:pPr>
              <w:pStyle w:val="2"/>
              <w:adjustRightInd w:val="0"/>
              <w:snapToGrid w:val="0"/>
              <w:spacing w:line="360" w:lineRule="exact"/>
              <w:jc w:val="both"/>
              <w:rPr>
                <w:rFonts w:hint="eastAsia" w:eastAsia="仿宋_GB2312"/>
                <w:b w:val="0"/>
                <w:color w:val="000000"/>
                <w:sz w:val="24"/>
                <w:lang w:eastAsia="zh-CN"/>
              </w:rPr>
            </w:pPr>
            <w:r>
              <w:rPr>
                <w:rFonts w:eastAsia="仿宋_GB2312"/>
                <w:b w:val="0"/>
                <w:color w:val="000000"/>
                <w:sz w:val="24"/>
              </w:rPr>
              <w:t>企业建立了制定工资正常调整制度，调整幅度符合经济社会发展情况，促进员工工资与企业经济效益、劳动生产率协调增长。</w:t>
            </w:r>
            <w:r>
              <w:rPr>
                <w:rFonts w:hint="eastAsia" w:eastAsia="仿宋_GB2312"/>
                <w:b w:val="0"/>
                <w:color w:val="000000"/>
                <w:sz w:val="24"/>
                <w:lang w:eastAsia="zh-CN"/>
              </w:rPr>
              <w:t>（</w:t>
            </w:r>
            <w:r>
              <w:rPr>
                <w:rFonts w:hint="eastAsia" w:eastAsia="仿宋_GB2312"/>
                <w:b w:val="0"/>
                <w:color w:val="000000"/>
                <w:sz w:val="24"/>
                <w:lang w:val="en-US" w:eastAsia="zh-CN"/>
              </w:rPr>
              <w:t>3分</w:t>
            </w:r>
            <w:r>
              <w:rPr>
                <w:rFonts w:hint="eastAsia" w:eastAsia="仿宋_GB2312"/>
                <w:b w:val="0"/>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hint="eastAsia" w:eastAsia="仿宋_GB2312"/>
                <w:b w:val="0"/>
                <w:color w:val="000000"/>
                <w:sz w:val="24"/>
                <w:lang w:eastAsia="zh-CN"/>
              </w:rPr>
            </w:pPr>
            <w:r>
              <w:rPr>
                <w:rFonts w:hint="eastAsia" w:eastAsia="仿宋_GB2312"/>
                <w:b w:val="0"/>
                <w:color w:val="000000"/>
                <w:sz w:val="24"/>
                <w:lang w:eastAsia="zh-CN"/>
              </w:rPr>
              <w:t>企业职工平均工资等于或高于我市社会平均工资标准。</w:t>
            </w:r>
            <w:r>
              <w:rPr>
                <w:rFonts w:eastAsia="仿宋_GB2312"/>
                <w:b w:val="0"/>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hint="eastAsia" w:eastAsia="仿宋_GB2312"/>
                <w:b w:val="0"/>
                <w:color w:val="000000"/>
                <w:sz w:val="24"/>
                <w:lang w:eastAsia="zh-CN"/>
              </w:rPr>
            </w:pPr>
            <w:r>
              <w:rPr>
                <w:rFonts w:eastAsia="仿宋_GB2312"/>
                <w:b w:val="0"/>
                <w:color w:val="000000"/>
                <w:sz w:val="24"/>
              </w:rPr>
              <w:t>工资分配和工资调整向一线生产服务岗位及脏、重、苦、累、险岗位倾斜。（</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员工工资增长</w:t>
            </w:r>
            <w:r>
              <w:rPr>
                <w:rFonts w:hint="eastAsia" w:eastAsia="仿宋_GB2312"/>
                <w:b w:val="0"/>
                <w:color w:val="000000"/>
                <w:sz w:val="24"/>
                <w:lang w:eastAsia="zh-CN"/>
              </w:rPr>
              <w:t>作为企业管理层</w:t>
            </w:r>
            <w:r>
              <w:rPr>
                <w:rFonts w:eastAsia="仿宋_GB2312"/>
                <w:b w:val="0"/>
                <w:color w:val="000000"/>
                <w:sz w:val="24"/>
              </w:rPr>
              <w:t>薪酬考核的重要指标。（</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企业为员工提供住房、养老、健康、教育等专项津贴或福利</w:t>
            </w:r>
            <w:r>
              <w:rPr>
                <w:rFonts w:hint="eastAsia" w:eastAsia="仿宋_GB2312"/>
                <w:b w:val="0"/>
                <w:color w:val="000000"/>
                <w:sz w:val="24"/>
                <w:lang w:eastAsia="zh-CN"/>
              </w:rPr>
              <w:t>。</w:t>
            </w:r>
            <w:r>
              <w:rPr>
                <w:rFonts w:eastAsia="仿宋_GB2312"/>
                <w:b w:val="0"/>
                <w:color w:val="000000"/>
                <w:sz w:val="24"/>
              </w:rPr>
              <w:t>（</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hint="eastAsia" w:eastAsia="仿宋_GB2312"/>
                <w:b w:val="0"/>
                <w:bCs w:val="0"/>
                <w:color w:val="000000"/>
                <w:sz w:val="24"/>
                <w:lang w:val="en-US" w:eastAsia="zh-CN"/>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企业致力于提升员工的生活福利水平，并为员工提供优良的饮食、住宿或交通条件。（3分）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77" w:type="dxa"/>
            <w:noWrap w:val="0"/>
            <w:vAlign w:val="center"/>
          </w:tcPr>
          <w:p>
            <w:pPr>
              <w:pStyle w:val="2"/>
              <w:adjustRightInd w:val="0"/>
              <w:snapToGrid w:val="0"/>
              <w:spacing w:line="360" w:lineRule="exact"/>
              <w:jc w:val="center"/>
              <w:rPr>
                <w:rFonts w:hint="eastAsia" w:eastAsia="仿宋_GB2312"/>
                <w:b w:val="0"/>
                <w:bCs w:val="0"/>
                <w:color w:val="000000"/>
                <w:sz w:val="24"/>
                <w:lang w:eastAsia="zh-CN"/>
              </w:rPr>
            </w:pPr>
            <w:r>
              <w:rPr>
                <w:rFonts w:hint="eastAsia" w:eastAsia="仿宋_GB2312"/>
                <w:b w:val="0"/>
                <w:bCs w:val="0"/>
                <w:color w:val="000000"/>
                <w:sz w:val="24"/>
                <w:lang w:val="en-US" w:eastAsia="zh-CN"/>
              </w:rPr>
              <w:t>5</w:t>
            </w:r>
          </w:p>
        </w:tc>
        <w:tc>
          <w:tcPr>
            <w:tcW w:w="4013" w:type="dxa"/>
            <w:noWrap w:val="0"/>
            <w:vAlign w:val="center"/>
          </w:tcPr>
          <w:p>
            <w:pPr>
              <w:pStyle w:val="2"/>
              <w:adjustRightInd w:val="0"/>
              <w:snapToGrid w:val="0"/>
              <w:spacing w:line="360" w:lineRule="exact"/>
              <w:jc w:val="both"/>
              <w:rPr>
                <w:rFonts w:eastAsia="仿宋_GB2312"/>
                <w:b w:val="0"/>
                <w:bCs w:val="0"/>
                <w:color w:val="000000"/>
                <w:sz w:val="24"/>
              </w:rPr>
            </w:pPr>
            <w:r>
              <w:rPr>
                <w:rFonts w:eastAsia="仿宋_GB2312"/>
                <w:b w:val="0"/>
                <w:color w:val="000000"/>
                <w:sz w:val="24"/>
              </w:rPr>
              <w:t>建立企业年金制度（</w:t>
            </w:r>
            <w:r>
              <w:rPr>
                <w:rFonts w:hint="eastAsia" w:eastAsia="仿宋_GB2312"/>
                <w:b w:val="0"/>
                <w:color w:val="000000"/>
                <w:sz w:val="24"/>
                <w:lang w:val="en-US" w:eastAsia="zh-CN"/>
              </w:rPr>
              <w:t>5</w:t>
            </w:r>
            <w:r>
              <w:rPr>
                <w:rFonts w:eastAsia="仿宋_GB2312"/>
                <w:b w:val="0"/>
                <w:color w:val="000000"/>
                <w:sz w:val="24"/>
              </w:rPr>
              <w:t>分）</w:t>
            </w: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hint="eastAsia" w:eastAsia="仿宋_GB2312"/>
                <w:b w:val="0"/>
                <w:color w:val="000000"/>
                <w:sz w:val="24"/>
                <w:lang w:eastAsia="zh-CN"/>
              </w:rPr>
              <w:t>员工购买</w:t>
            </w:r>
            <w:r>
              <w:rPr>
                <w:rFonts w:eastAsia="仿宋_GB2312"/>
                <w:b w:val="0"/>
                <w:color w:val="000000"/>
                <w:sz w:val="24"/>
              </w:rPr>
              <w:t>企业年金</w:t>
            </w:r>
            <w:r>
              <w:rPr>
                <w:rFonts w:hint="eastAsia" w:eastAsia="仿宋_GB2312"/>
                <w:b w:val="0"/>
                <w:color w:val="000000"/>
                <w:sz w:val="24"/>
                <w:lang w:eastAsia="zh-CN"/>
              </w:rPr>
              <w:t>率达</w:t>
            </w:r>
            <w:r>
              <w:rPr>
                <w:rFonts w:hint="eastAsia" w:eastAsia="仿宋_GB2312"/>
                <w:b w:val="0"/>
                <w:color w:val="000000"/>
                <w:sz w:val="24"/>
                <w:lang w:val="en-US" w:eastAsia="zh-CN"/>
              </w:rPr>
              <w:t>60%以上</w:t>
            </w:r>
            <w:r>
              <w:rPr>
                <w:rFonts w:eastAsia="仿宋_GB2312"/>
                <w:b w:val="0"/>
                <w:color w:val="000000"/>
                <w:sz w:val="24"/>
              </w:rPr>
              <w:t>。（</w:t>
            </w:r>
            <w:r>
              <w:rPr>
                <w:rFonts w:hint="eastAsia" w:eastAsia="仿宋_GB2312"/>
                <w:b w:val="0"/>
                <w:color w:val="000000"/>
                <w:sz w:val="24"/>
                <w:lang w:val="en-US" w:eastAsia="zh-CN"/>
              </w:rPr>
              <w:t>5</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677" w:type="dxa"/>
            <w:vMerge w:val="restart"/>
            <w:noWrap w:val="0"/>
            <w:vAlign w:val="center"/>
          </w:tcPr>
          <w:p>
            <w:pPr>
              <w:pStyle w:val="2"/>
              <w:adjustRightInd w:val="0"/>
              <w:snapToGrid w:val="0"/>
              <w:spacing w:line="360" w:lineRule="exact"/>
              <w:jc w:val="center"/>
              <w:rPr>
                <w:rFonts w:hint="eastAsia" w:eastAsia="仿宋_GB2312"/>
                <w:b w:val="0"/>
                <w:bCs w:val="0"/>
                <w:color w:val="000000"/>
                <w:sz w:val="24"/>
                <w:lang w:eastAsia="zh-CN"/>
              </w:rPr>
            </w:pPr>
            <w:r>
              <w:rPr>
                <w:rFonts w:hint="eastAsia" w:eastAsia="仿宋_GB2312"/>
                <w:b w:val="0"/>
                <w:bCs w:val="0"/>
                <w:color w:val="000000"/>
                <w:sz w:val="24"/>
                <w:lang w:val="en-US" w:eastAsia="zh-CN"/>
              </w:rPr>
              <w:t>6</w:t>
            </w:r>
          </w:p>
        </w:tc>
        <w:tc>
          <w:tcPr>
            <w:tcW w:w="4013" w:type="dxa"/>
            <w:vMerge w:val="restart"/>
            <w:noWrap w:val="0"/>
            <w:vAlign w:val="center"/>
          </w:tcPr>
          <w:p>
            <w:pPr>
              <w:pStyle w:val="2"/>
              <w:adjustRightInd w:val="0"/>
              <w:snapToGrid w:val="0"/>
              <w:spacing w:line="360" w:lineRule="exact"/>
              <w:jc w:val="both"/>
              <w:rPr>
                <w:rFonts w:eastAsia="仿宋_GB2312"/>
                <w:b w:val="0"/>
                <w:bCs w:val="0"/>
                <w:color w:val="000000"/>
                <w:sz w:val="24"/>
              </w:rPr>
            </w:pPr>
            <w:r>
              <w:rPr>
                <w:rFonts w:eastAsia="仿宋_GB2312"/>
                <w:b w:val="0"/>
                <w:bCs w:val="0"/>
                <w:color w:val="000000"/>
                <w:sz w:val="24"/>
              </w:rPr>
              <w:t>企业形成与员工共同发展的鲜明特色企业文化，劳动关系健康和谐（</w:t>
            </w:r>
            <w:r>
              <w:rPr>
                <w:rFonts w:hint="eastAsia" w:eastAsia="仿宋_GB2312"/>
                <w:b w:val="0"/>
                <w:bCs w:val="0"/>
                <w:color w:val="000000"/>
                <w:sz w:val="24"/>
                <w:lang w:val="en-US" w:eastAsia="zh-CN"/>
              </w:rPr>
              <w:t>12</w:t>
            </w:r>
            <w:r>
              <w:rPr>
                <w:rFonts w:eastAsia="仿宋_GB2312"/>
                <w:b w:val="0"/>
                <w:bCs w:val="0"/>
                <w:color w:val="000000"/>
                <w:sz w:val="24"/>
              </w:rPr>
              <w:t>分）</w:t>
            </w:r>
          </w:p>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企业人性化管理理念深入人心。管理者在制定各项政策时能充分考虑员工意见、建议和利益诉求，制定的各项政策充分体现对员工的关心关爱。（</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企业制定了体现员工共同发展愿景的战略规划。企业和员工有共同的关于企业发展基本信念、职业道德、核心价值观等，企业与员工实现共同发展。（</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企业注重培育员工的团队协作意识，根据员工需要开展多种形式的企业文化活动。（</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针对企业具体情况，开展弹性工作制、工作-家庭照顾等人性化制度。（</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企业建立并实施员工关爱制度，开展形式多样的员工交流和互助活动。关心帮助困难员工家庭，关爱员工未成年子女成长，积极开展员工心理健康咨询服务，引导职工快乐工作、健康生活。（</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企业以职代会为基本形式的民主管理机制健全，员工积极参与企业管理和决策，员工对涉及切身利益的事项享有充分的知情权，其表达、参与、协商和监督的权利得到充分保障。（</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77" w:type="dxa"/>
            <w:vMerge w:val="restart"/>
            <w:noWrap w:val="0"/>
            <w:vAlign w:val="center"/>
          </w:tcPr>
          <w:p>
            <w:pPr>
              <w:pStyle w:val="2"/>
              <w:adjustRightInd w:val="0"/>
              <w:snapToGrid w:val="0"/>
              <w:spacing w:line="360" w:lineRule="exact"/>
              <w:jc w:val="center"/>
              <w:rPr>
                <w:rFonts w:hint="eastAsia" w:eastAsia="仿宋_GB2312"/>
                <w:b w:val="0"/>
                <w:bCs w:val="0"/>
                <w:color w:val="000000"/>
                <w:sz w:val="24"/>
                <w:lang w:eastAsia="zh-CN"/>
              </w:rPr>
            </w:pPr>
            <w:r>
              <w:rPr>
                <w:rFonts w:hint="eastAsia" w:eastAsia="仿宋_GB2312"/>
                <w:b w:val="0"/>
                <w:bCs w:val="0"/>
                <w:color w:val="000000"/>
                <w:sz w:val="24"/>
                <w:lang w:val="en-US" w:eastAsia="zh-CN"/>
              </w:rPr>
              <w:t>7</w:t>
            </w:r>
          </w:p>
        </w:tc>
        <w:tc>
          <w:tcPr>
            <w:tcW w:w="4013" w:type="dxa"/>
            <w:vMerge w:val="restart"/>
            <w:noWrap w:val="0"/>
            <w:vAlign w:val="center"/>
          </w:tcPr>
          <w:p>
            <w:pPr>
              <w:pStyle w:val="2"/>
              <w:adjustRightInd w:val="0"/>
              <w:snapToGrid w:val="0"/>
              <w:spacing w:line="360" w:lineRule="exact"/>
              <w:jc w:val="both"/>
              <w:rPr>
                <w:rFonts w:eastAsia="仿宋_GB2312"/>
                <w:b w:val="0"/>
                <w:bCs w:val="0"/>
                <w:color w:val="000000"/>
                <w:sz w:val="24"/>
              </w:rPr>
            </w:pPr>
            <w:r>
              <w:rPr>
                <w:rFonts w:hint="eastAsia" w:eastAsia="仿宋_GB2312"/>
                <w:b w:val="0"/>
                <w:bCs w:val="0"/>
                <w:color w:val="000000"/>
                <w:sz w:val="24"/>
                <w:lang w:val="en-US" w:eastAsia="zh-CN"/>
              </w:rPr>
              <w:t>拥有不少于15名经过专业机构正式培训的劳动关系协调员（9分）</w:t>
            </w: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hint="eastAsia" w:eastAsia="仿宋_GB2312"/>
                <w:b w:val="0"/>
                <w:color w:val="000000"/>
                <w:spacing w:val="-4"/>
                <w:sz w:val="21"/>
                <w:szCs w:val="21"/>
                <w:lang w:val="en-US" w:eastAsia="zh-CN"/>
              </w:rPr>
              <w:t>有不少于15名经过专业机构培训的劳动关系协调员。（10分）（少于15名记0分，15名记6分，16名记7分，17名记8分，18名及以上记9分）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77" w:type="dxa"/>
            <w:vMerge w:val="restart"/>
            <w:noWrap w:val="0"/>
            <w:vAlign w:val="center"/>
          </w:tcPr>
          <w:p>
            <w:pPr>
              <w:pStyle w:val="2"/>
              <w:adjustRightInd w:val="0"/>
              <w:snapToGrid w:val="0"/>
              <w:spacing w:line="360" w:lineRule="exact"/>
              <w:jc w:val="center"/>
              <w:rPr>
                <w:rFonts w:hint="eastAsia" w:eastAsia="仿宋_GB2312"/>
                <w:b w:val="0"/>
                <w:bCs w:val="0"/>
                <w:color w:val="000000"/>
                <w:sz w:val="24"/>
                <w:lang w:eastAsia="zh-CN"/>
              </w:rPr>
            </w:pPr>
            <w:r>
              <w:rPr>
                <w:rFonts w:hint="eastAsia" w:eastAsia="仿宋_GB2312"/>
                <w:b w:val="0"/>
                <w:bCs w:val="0"/>
                <w:color w:val="000000"/>
                <w:sz w:val="24"/>
                <w:lang w:val="en-US" w:eastAsia="zh-CN"/>
              </w:rPr>
              <w:t>8</w:t>
            </w:r>
          </w:p>
        </w:tc>
        <w:tc>
          <w:tcPr>
            <w:tcW w:w="4013" w:type="dxa"/>
            <w:vMerge w:val="restart"/>
            <w:noWrap w:val="0"/>
            <w:vAlign w:val="center"/>
          </w:tcPr>
          <w:p>
            <w:pPr>
              <w:pStyle w:val="2"/>
              <w:adjustRightInd w:val="0"/>
              <w:snapToGrid w:val="0"/>
              <w:spacing w:line="360" w:lineRule="exact"/>
              <w:jc w:val="both"/>
              <w:rPr>
                <w:rFonts w:eastAsia="仿宋_GB2312"/>
                <w:b w:val="0"/>
                <w:bCs w:val="0"/>
                <w:color w:val="000000"/>
                <w:sz w:val="24"/>
              </w:rPr>
            </w:pPr>
            <w:r>
              <w:rPr>
                <w:rFonts w:hint="eastAsia" w:eastAsia="仿宋_GB2312"/>
                <w:b w:val="0"/>
                <w:bCs w:val="0"/>
                <w:color w:val="000000"/>
                <w:sz w:val="24"/>
                <w:lang w:val="en-US" w:eastAsia="zh-CN"/>
              </w:rPr>
              <w:t>积极参加公益事业，履行社会责任和义务（12分）</w:t>
            </w: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企业社会声誉</w:t>
            </w:r>
            <w:r>
              <w:rPr>
                <w:rFonts w:hint="eastAsia" w:eastAsia="仿宋_GB2312"/>
                <w:b w:val="0"/>
                <w:color w:val="000000"/>
                <w:sz w:val="24"/>
                <w:lang w:eastAsia="zh-CN"/>
              </w:rPr>
              <w:t>好</w:t>
            </w:r>
            <w:r>
              <w:rPr>
                <w:rFonts w:eastAsia="仿宋_GB2312"/>
                <w:b w:val="0"/>
                <w:color w:val="000000"/>
                <w:sz w:val="24"/>
              </w:rPr>
              <w:t>，</w:t>
            </w:r>
            <w:r>
              <w:rPr>
                <w:rFonts w:hint="eastAsia" w:eastAsia="仿宋_GB2312"/>
                <w:b w:val="0"/>
                <w:color w:val="000000"/>
                <w:sz w:val="24"/>
                <w:lang w:eastAsia="zh-CN"/>
              </w:rPr>
              <w:t>三年内曾</w:t>
            </w:r>
            <w:r>
              <w:rPr>
                <w:rFonts w:eastAsia="仿宋_GB2312"/>
                <w:b w:val="0"/>
                <w:color w:val="000000"/>
                <w:sz w:val="24"/>
              </w:rPr>
              <w:t>获得市级以上表彰。（3分）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企业积极参与环保事业，各项指标符合环保部门要求，并有节能减排计划和专项环保经费。（3分）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企业具有A级以上纳税、工商信用和银行信用等级。（</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企业积极参与扶贫帮困、捐资助学、捐款救灾等回报社会的慈善活动。（2分）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77" w:type="dxa"/>
            <w:vMerge w:val="continue"/>
            <w:noWrap w:val="0"/>
            <w:vAlign w:val="center"/>
          </w:tcPr>
          <w:p>
            <w:pPr>
              <w:pStyle w:val="2"/>
              <w:adjustRightInd w:val="0"/>
              <w:snapToGrid w:val="0"/>
              <w:spacing w:line="360" w:lineRule="exact"/>
              <w:jc w:val="center"/>
              <w:rPr>
                <w:rFonts w:eastAsia="仿宋_GB2312"/>
                <w:b w:val="0"/>
                <w:bCs w:val="0"/>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b w:val="0"/>
                <w:bCs w:val="0"/>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企业积极参与地方共建活动。（</w:t>
            </w:r>
            <w:r>
              <w:rPr>
                <w:rFonts w:hint="eastAsia" w:eastAsia="仿宋_GB2312"/>
                <w:b w:val="0"/>
                <w:color w:val="000000"/>
                <w:sz w:val="24"/>
                <w:lang w:val="en-US" w:eastAsia="zh-CN"/>
              </w:rPr>
              <w:t>2</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7" w:type="dxa"/>
            <w:vMerge w:val="restart"/>
            <w:noWrap w:val="0"/>
            <w:vAlign w:val="center"/>
          </w:tcPr>
          <w:p>
            <w:pPr>
              <w:pStyle w:val="2"/>
              <w:adjustRightInd w:val="0"/>
              <w:snapToGrid w:val="0"/>
              <w:spacing w:line="360" w:lineRule="exact"/>
              <w:jc w:val="center"/>
              <w:rPr>
                <w:rFonts w:hint="eastAsia" w:eastAsia="仿宋_GB2312"/>
                <w:b w:val="0"/>
                <w:bCs w:val="0"/>
                <w:color w:val="000000"/>
                <w:sz w:val="24"/>
                <w:lang w:eastAsia="zh-CN"/>
              </w:rPr>
            </w:pPr>
            <w:r>
              <w:rPr>
                <w:rFonts w:hint="eastAsia"/>
                <w:b w:val="0"/>
                <w:bCs w:val="0"/>
                <w:color w:val="000000"/>
                <w:sz w:val="24"/>
                <w:lang w:val="en-US" w:eastAsia="zh-CN"/>
              </w:rPr>
              <w:t>9</w:t>
            </w:r>
          </w:p>
        </w:tc>
        <w:tc>
          <w:tcPr>
            <w:tcW w:w="4013" w:type="dxa"/>
            <w:vMerge w:val="restart"/>
            <w:noWrap w:val="0"/>
            <w:vAlign w:val="center"/>
          </w:tcPr>
          <w:p>
            <w:pPr>
              <w:pStyle w:val="2"/>
              <w:adjustRightInd w:val="0"/>
              <w:snapToGrid w:val="0"/>
              <w:spacing w:line="360" w:lineRule="exact"/>
              <w:jc w:val="both"/>
              <w:rPr>
                <w:rFonts w:eastAsia="仿宋_GB2312"/>
                <w:b w:val="0"/>
                <w:bCs w:val="0"/>
                <w:color w:val="000000"/>
                <w:sz w:val="24"/>
              </w:rPr>
            </w:pPr>
            <w:r>
              <w:rPr>
                <w:rFonts w:hint="eastAsia" w:eastAsia="仿宋_GB2312"/>
                <w:b w:val="0"/>
                <w:bCs w:val="0"/>
                <w:color w:val="000000"/>
                <w:sz w:val="24"/>
                <w:lang w:val="en-US" w:eastAsia="zh-CN"/>
              </w:rPr>
              <w:t>员工热爱企业，具有较强的责任感和归属感，为实现企业发展愿景作出贡献（10分）</w:t>
            </w: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员工能清楚了解企业的年度生产经营目标、计划、利润目标以及目标完成进度情况，并能按企业计划完成生产任务，实现企业预定的利润目标。（2分）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77" w:type="dxa"/>
            <w:vMerge w:val="continue"/>
            <w:noWrap w:val="0"/>
            <w:vAlign w:val="center"/>
          </w:tcPr>
          <w:p>
            <w:pPr>
              <w:pStyle w:val="2"/>
              <w:adjustRightInd w:val="0"/>
              <w:snapToGrid w:val="0"/>
              <w:spacing w:line="360" w:lineRule="exact"/>
              <w:jc w:val="center"/>
              <w:rPr>
                <w:rFonts w:eastAsia="仿宋_GB2312"/>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员工能为企业的发展规划提供意见和建议，并为提升企业的经济效益和社会效益作出贡献。（2分）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77" w:type="dxa"/>
            <w:vMerge w:val="continue"/>
            <w:noWrap w:val="0"/>
            <w:vAlign w:val="center"/>
          </w:tcPr>
          <w:p>
            <w:pPr>
              <w:pStyle w:val="2"/>
              <w:adjustRightInd w:val="0"/>
              <w:snapToGrid w:val="0"/>
              <w:spacing w:line="360" w:lineRule="exact"/>
              <w:jc w:val="center"/>
              <w:rPr>
                <w:rFonts w:eastAsia="仿宋_GB2312"/>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员工能积极参加企业组织的各项文娱体育活动，并能响应企业的号召参与捐资助学等社会公益活动。（</w:t>
            </w:r>
            <w:r>
              <w:rPr>
                <w:rFonts w:hint="eastAsia" w:eastAsia="仿宋_GB2312"/>
                <w:b w:val="0"/>
                <w:color w:val="000000"/>
                <w:sz w:val="24"/>
                <w:lang w:val="en-US" w:eastAsia="zh-CN"/>
              </w:rPr>
              <w:t>3</w:t>
            </w:r>
            <w:r>
              <w:rPr>
                <w:rFonts w:eastAsia="仿宋_GB2312"/>
                <w:b w:val="0"/>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77" w:type="dxa"/>
            <w:vMerge w:val="continue"/>
            <w:noWrap w:val="0"/>
            <w:vAlign w:val="center"/>
          </w:tcPr>
          <w:p>
            <w:pPr>
              <w:pStyle w:val="2"/>
              <w:adjustRightInd w:val="0"/>
              <w:snapToGrid w:val="0"/>
              <w:spacing w:line="360" w:lineRule="exact"/>
              <w:jc w:val="center"/>
              <w:rPr>
                <w:rFonts w:eastAsia="仿宋_GB2312"/>
                <w:color w:val="000000"/>
                <w:sz w:val="24"/>
              </w:rPr>
            </w:pPr>
          </w:p>
        </w:tc>
        <w:tc>
          <w:tcPr>
            <w:tcW w:w="4013" w:type="dxa"/>
            <w:vMerge w:val="continue"/>
            <w:noWrap w:val="0"/>
            <w:vAlign w:val="center"/>
          </w:tcPr>
          <w:p>
            <w:pPr>
              <w:pStyle w:val="2"/>
              <w:adjustRightInd w:val="0"/>
              <w:snapToGrid w:val="0"/>
              <w:spacing w:line="360" w:lineRule="exact"/>
              <w:jc w:val="both"/>
              <w:rPr>
                <w:rFonts w:eastAsia="仿宋_GB2312"/>
                <w:color w:val="000000"/>
                <w:sz w:val="24"/>
              </w:rPr>
            </w:pPr>
          </w:p>
        </w:tc>
        <w:tc>
          <w:tcPr>
            <w:tcW w:w="16590" w:type="dxa"/>
            <w:noWrap w:val="0"/>
            <w:vAlign w:val="center"/>
          </w:tcPr>
          <w:p>
            <w:pPr>
              <w:pStyle w:val="2"/>
              <w:adjustRightInd w:val="0"/>
              <w:snapToGrid w:val="0"/>
              <w:spacing w:line="360" w:lineRule="exact"/>
              <w:jc w:val="both"/>
              <w:rPr>
                <w:rFonts w:eastAsia="仿宋_GB2312"/>
                <w:b w:val="0"/>
                <w:color w:val="000000"/>
                <w:sz w:val="24"/>
              </w:rPr>
            </w:pPr>
            <w:r>
              <w:rPr>
                <w:rFonts w:eastAsia="仿宋_GB2312"/>
                <w:b w:val="0"/>
                <w:color w:val="000000"/>
                <w:sz w:val="24"/>
              </w:rPr>
              <w:t>员工对企业</w:t>
            </w:r>
            <w:r>
              <w:rPr>
                <w:rFonts w:hint="eastAsia" w:eastAsia="仿宋_GB2312"/>
                <w:b w:val="0"/>
                <w:color w:val="000000"/>
                <w:sz w:val="24"/>
                <w:lang w:eastAsia="zh-CN"/>
              </w:rPr>
              <w:t>和谐劳动关系</w:t>
            </w:r>
            <w:r>
              <w:rPr>
                <w:rFonts w:eastAsia="仿宋_GB2312"/>
                <w:b w:val="0"/>
                <w:color w:val="000000"/>
                <w:sz w:val="24"/>
              </w:rPr>
              <w:t>情况的满意度达</w:t>
            </w:r>
            <w:r>
              <w:rPr>
                <w:rFonts w:hint="eastAsia" w:eastAsia="仿宋_GB2312"/>
                <w:b w:val="0"/>
                <w:color w:val="000000"/>
                <w:sz w:val="24"/>
                <w:lang w:val="en-US" w:eastAsia="zh-CN"/>
              </w:rPr>
              <w:t>90</w:t>
            </w:r>
            <w:r>
              <w:rPr>
                <w:rFonts w:eastAsia="仿宋_GB2312"/>
                <w:b w:val="0"/>
                <w:color w:val="000000"/>
                <w:sz w:val="24"/>
              </w:rPr>
              <w:t>%以上（企业工会开展员工满意度问卷调查并统计测评结果）。（</w:t>
            </w:r>
            <w:r>
              <w:rPr>
                <w:rFonts w:hint="eastAsia" w:eastAsia="仿宋_GB2312"/>
                <w:b w:val="0"/>
                <w:color w:val="000000"/>
                <w:sz w:val="24"/>
                <w:lang w:val="en-US" w:eastAsia="zh-CN"/>
              </w:rPr>
              <w:t>3</w:t>
            </w:r>
            <w:r>
              <w:rPr>
                <w:rFonts w:eastAsia="仿宋_GB2312"/>
                <w:b w:val="0"/>
                <w:color w:val="000000"/>
                <w:sz w:val="24"/>
              </w:rPr>
              <w:t>分）</w:t>
            </w:r>
          </w:p>
        </w:tc>
      </w:tr>
    </w:tbl>
    <w:p>
      <w:pPr>
        <w:rPr>
          <w:u w:val="singl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p>
    <w:sectPr>
      <w:pgSz w:w="23811" w:h="16838"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ESI宋体-GB13000">
    <w:altName w:val="宋体"/>
    <w:panose1 w:val="020005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BatangChe">
    <w:altName w:val="Malgun Gothic"/>
    <w:panose1 w:val="02030609000101010101"/>
    <w:charset w:val="81"/>
    <w:family w:val="auto"/>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BatangChe" w:hAnsi="BatangChe" w:eastAsia="BatangChe" w:cs="BatangChe"/>
                              <w:sz w:val="28"/>
                              <w:szCs w:val="28"/>
                              <w:lang w:val="en-US" w:eastAsia="zh-CN"/>
                            </w:rPr>
                          </w:pPr>
                          <w:r>
                            <w:rPr>
                              <w:rFonts w:hint="eastAsia" w:ascii="BatangChe" w:hAnsi="BatangChe" w:eastAsia="BatangChe" w:cs="BatangChe"/>
                              <w:sz w:val="28"/>
                              <w:szCs w:val="28"/>
                              <w:lang w:val="en-US" w:eastAsia="zh-CN"/>
                            </w:rPr>
                            <w:t>-</w:t>
                          </w:r>
                          <w:r>
                            <w:rPr>
                              <w:rFonts w:hint="eastAsia" w:ascii="BatangChe" w:hAnsi="BatangChe" w:eastAsia="BatangChe" w:cs="BatangChe"/>
                              <w:sz w:val="28"/>
                              <w:szCs w:val="28"/>
                              <w:lang w:eastAsia="zh-CN"/>
                            </w:rPr>
                            <w:fldChar w:fldCharType="begin"/>
                          </w:r>
                          <w:r>
                            <w:rPr>
                              <w:rFonts w:hint="eastAsia" w:ascii="BatangChe" w:hAnsi="BatangChe" w:eastAsia="BatangChe" w:cs="BatangChe"/>
                              <w:sz w:val="28"/>
                              <w:szCs w:val="28"/>
                              <w:lang w:eastAsia="zh-CN"/>
                            </w:rPr>
                            <w:instrText xml:space="preserve"> PAGE  \* MERGEFORMAT </w:instrText>
                          </w:r>
                          <w:r>
                            <w:rPr>
                              <w:rFonts w:hint="eastAsia" w:ascii="BatangChe" w:hAnsi="BatangChe" w:eastAsia="BatangChe" w:cs="BatangChe"/>
                              <w:sz w:val="28"/>
                              <w:szCs w:val="28"/>
                              <w:lang w:eastAsia="zh-CN"/>
                            </w:rPr>
                            <w:fldChar w:fldCharType="separate"/>
                          </w:r>
                          <w:r>
                            <w:rPr>
                              <w:rFonts w:hint="eastAsia" w:ascii="BatangChe" w:hAnsi="BatangChe" w:eastAsia="BatangChe" w:cs="BatangChe"/>
                              <w:sz w:val="28"/>
                              <w:szCs w:val="28"/>
                              <w:lang w:eastAsia="zh-CN"/>
                            </w:rPr>
                            <w:t>1</w:t>
                          </w:r>
                          <w:r>
                            <w:rPr>
                              <w:rFonts w:hint="eastAsia" w:ascii="BatangChe" w:hAnsi="BatangChe" w:eastAsia="BatangChe" w:cs="BatangChe"/>
                              <w:sz w:val="28"/>
                              <w:szCs w:val="28"/>
                              <w:lang w:eastAsia="zh-CN"/>
                            </w:rPr>
                            <w:fldChar w:fldCharType="end"/>
                          </w:r>
                          <w:r>
                            <w:rPr>
                              <w:rFonts w:hint="eastAsia" w:ascii="BatangChe" w:hAnsi="BatangChe" w:eastAsia="BatangChe" w:cs="BatangChe"/>
                              <w:sz w:val="28"/>
                              <w:szCs w:val="28"/>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BatangChe" w:hAnsi="BatangChe" w:eastAsia="BatangChe" w:cs="BatangChe"/>
                        <w:sz w:val="28"/>
                        <w:szCs w:val="28"/>
                        <w:lang w:val="en-US" w:eastAsia="zh-CN"/>
                      </w:rPr>
                    </w:pPr>
                    <w:r>
                      <w:rPr>
                        <w:rFonts w:hint="eastAsia" w:ascii="BatangChe" w:hAnsi="BatangChe" w:eastAsia="BatangChe" w:cs="BatangChe"/>
                        <w:sz w:val="28"/>
                        <w:szCs w:val="28"/>
                        <w:lang w:val="en-US" w:eastAsia="zh-CN"/>
                      </w:rPr>
                      <w:t>-</w:t>
                    </w:r>
                    <w:r>
                      <w:rPr>
                        <w:rFonts w:hint="eastAsia" w:ascii="BatangChe" w:hAnsi="BatangChe" w:eastAsia="BatangChe" w:cs="BatangChe"/>
                        <w:sz w:val="28"/>
                        <w:szCs w:val="28"/>
                        <w:lang w:eastAsia="zh-CN"/>
                      </w:rPr>
                      <w:fldChar w:fldCharType="begin"/>
                    </w:r>
                    <w:r>
                      <w:rPr>
                        <w:rFonts w:hint="eastAsia" w:ascii="BatangChe" w:hAnsi="BatangChe" w:eastAsia="BatangChe" w:cs="BatangChe"/>
                        <w:sz w:val="28"/>
                        <w:szCs w:val="28"/>
                        <w:lang w:eastAsia="zh-CN"/>
                      </w:rPr>
                      <w:instrText xml:space="preserve"> PAGE  \* MERGEFORMAT </w:instrText>
                    </w:r>
                    <w:r>
                      <w:rPr>
                        <w:rFonts w:hint="eastAsia" w:ascii="BatangChe" w:hAnsi="BatangChe" w:eastAsia="BatangChe" w:cs="BatangChe"/>
                        <w:sz w:val="28"/>
                        <w:szCs w:val="28"/>
                        <w:lang w:eastAsia="zh-CN"/>
                      </w:rPr>
                      <w:fldChar w:fldCharType="separate"/>
                    </w:r>
                    <w:r>
                      <w:rPr>
                        <w:rFonts w:hint="eastAsia" w:ascii="BatangChe" w:hAnsi="BatangChe" w:eastAsia="BatangChe" w:cs="BatangChe"/>
                        <w:sz w:val="28"/>
                        <w:szCs w:val="28"/>
                        <w:lang w:eastAsia="zh-CN"/>
                      </w:rPr>
                      <w:t>1</w:t>
                    </w:r>
                    <w:r>
                      <w:rPr>
                        <w:rFonts w:hint="eastAsia" w:ascii="BatangChe" w:hAnsi="BatangChe" w:eastAsia="BatangChe" w:cs="BatangChe"/>
                        <w:sz w:val="28"/>
                        <w:szCs w:val="28"/>
                        <w:lang w:eastAsia="zh-CN"/>
                      </w:rPr>
                      <w:fldChar w:fldCharType="end"/>
                    </w:r>
                    <w:r>
                      <w:rPr>
                        <w:rFonts w:hint="eastAsia" w:ascii="BatangChe" w:hAnsi="BatangChe" w:eastAsia="BatangChe" w:cs="BatangChe"/>
                        <w:sz w:val="28"/>
                        <w:szCs w:val="28"/>
                        <w:lang w:val="en-US"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337824"/>
    <w:rsid w:val="03927154"/>
    <w:rsid w:val="03A46273"/>
    <w:rsid w:val="040418EE"/>
    <w:rsid w:val="047577DB"/>
    <w:rsid w:val="09B51F44"/>
    <w:rsid w:val="0A076F53"/>
    <w:rsid w:val="0AD40A2A"/>
    <w:rsid w:val="0B3E24E9"/>
    <w:rsid w:val="0E0E595B"/>
    <w:rsid w:val="10954CCA"/>
    <w:rsid w:val="10AE236E"/>
    <w:rsid w:val="114748C8"/>
    <w:rsid w:val="14935BF7"/>
    <w:rsid w:val="164C691A"/>
    <w:rsid w:val="1B856E15"/>
    <w:rsid w:val="1EDA0C82"/>
    <w:rsid w:val="20EF671D"/>
    <w:rsid w:val="21A66F48"/>
    <w:rsid w:val="29300213"/>
    <w:rsid w:val="29C85C42"/>
    <w:rsid w:val="2B6E6EAF"/>
    <w:rsid w:val="2B706017"/>
    <w:rsid w:val="2C0D65B4"/>
    <w:rsid w:val="2C9C5661"/>
    <w:rsid w:val="2D557300"/>
    <w:rsid w:val="2D712FEB"/>
    <w:rsid w:val="2DB75C3B"/>
    <w:rsid w:val="2E371F82"/>
    <w:rsid w:val="30664BE9"/>
    <w:rsid w:val="30A87734"/>
    <w:rsid w:val="31C85FC8"/>
    <w:rsid w:val="31F571E9"/>
    <w:rsid w:val="32457C15"/>
    <w:rsid w:val="328830C3"/>
    <w:rsid w:val="32F54C3F"/>
    <w:rsid w:val="340A3A58"/>
    <w:rsid w:val="349326B0"/>
    <w:rsid w:val="34F64FA7"/>
    <w:rsid w:val="369126AA"/>
    <w:rsid w:val="3C210E8F"/>
    <w:rsid w:val="3C337824"/>
    <w:rsid w:val="3CE708AF"/>
    <w:rsid w:val="3D0E490E"/>
    <w:rsid w:val="3EFF3554"/>
    <w:rsid w:val="3F6D2AF0"/>
    <w:rsid w:val="40D62212"/>
    <w:rsid w:val="4175717A"/>
    <w:rsid w:val="43DC3572"/>
    <w:rsid w:val="455D664A"/>
    <w:rsid w:val="467F3717"/>
    <w:rsid w:val="46CC2C6C"/>
    <w:rsid w:val="471165E0"/>
    <w:rsid w:val="4785363B"/>
    <w:rsid w:val="48242D33"/>
    <w:rsid w:val="49750531"/>
    <w:rsid w:val="4A0F1AF1"/>
    <w:rsid w:val="4A11184D"/>
    <w:rsid w:val="4B0A54C0"/>
    <w:rsid w:val="4D585A7F"/>
    <w:rsid w:val="4F0D7100"/>
    <w:rsid w:val="4F3618D0"/>
    <w:rsid w:val="50236CBB"/>
    <w:rsid w:val="51704204"/>
    <w:rsid w:val="54CE0E4A"/>
    <w:rsid w:val="55066679"/>
    <w:rsid w:val="55A8769E"/>
    <w:rsid w:val="572A1632"/>
    <w:rsid w:val="581A2EE9"/>
    <w:rsid w:val="58632590"/>
    <w:rsid w:val="595357DC"/>
    <w:rsid w:val="5B9B1875"/>
    <w:rsid w:val="5C9A4264"/>
    <w:rsid w:val="5EBD6984"/>
    <w:rsid w:val="5FEFD9E6"/>
    <w:rsid w:val="60C626FF"/>
    <w:rsid w:val="6127160D"/>
    <w:rsid w:val="61983FCD"/>
    <w:rsid w:val="62F03E49"/>
    <w:rsid w:val="672B2A1A"/>
    <w:rsid w:val="679FBA5F"/>
    <w:rsid w:val="691A2C8E"/>
    <w:rsid w:val="699C44EF"/>
    <w:rsid w:val="69FA0559"/>
    <w:rsid w:val="6C6A66FF"/>
    <w:rsid w:val="6D876338"/>
    <w:rsid w:val="6FBA14D3"/>
    <w:rsid w:val="70DB08C5"/>
    <w:rsid w:val="71FD6EC5"/>
    <w:rsid w:val="73961105"/>
    <w:rsid w:val="747621BA"/>
    <w:rsid w:val="74895E3C"/>
    <w:rsid w:val="74967232"/>
    <w:rsid w:val="76055C4A"/>
    <w:rsid w:val="7817440B"/>
    <w:rsid w:val="7BC7740F"/>
    <w:rsid w:val="7C1F6119"/>
    <w:rsid w:val="7CBE66CC"/>
    <w:rsid w:val="7D702139"/>
    <w:rsid w:val="7EBF04DD"/>
    <w:rsid w:val="ABFD8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keepNext w:val="0"/>
      <w:keepLines w:val="0"/>
      <w:widowControl w:val="0"/>
      <w:suppressLineNumbers w:val="0"/>
      <w:spacing w:before="0" w:beforeAutospacing="0" w:after="120" w:afterAutospacing="0"/>
      <w:ind w:left="0" w:right="0"/>
      <w:jc w:val="both"/>
    </w:pPr>
    <w:rPr>
      <w:rFonts w:hint="default" w:ascii="Times New Roman" w:hAnsi="Times New Roman" w:eastAsia="仿宋_GB2312" w:cs="Times New Roman"/>
      <w:kern w:val="2"/>
      <w:sz w:val="32"/>
      <w:szCs w:val="20"/>
      <w:lang w:val="en-US" w:eastAsia="zh-CN" w:bidi="ar"/>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市人社局</Company>
  <Pages>1</Pages>
  <Words>0</Words>
  <Characters>0</Characters>
  <Lines>0</Lines>
  <Paragraphs>0</Paragraphs>
  <TotalTime>6</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2021-07-27T11:18:00Z</dcterms:created>
  <dc:creator>张晓云</dc:creator>
  <cp:lastModifiedBy>郑妍琼</cp:lastModifiedBy>
  <cp:lastPrinted>2024-06-03T03:26:49Z</cp:lastPrinted>
  <dcterms:modified xsi:type="dcterms:W3CDTF">2024-06-03T03:26:55Z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A4146A98A7CC4D9A8D5BA877DE9CABF1</vt:lpwstr>
  </property>
</Properties>
</file>